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2317F" w14:textId="6F8D1551" w:rsidR="00F6694F" w:rsidRPr="00A2509B" w:rsidRDefault="00F6694F" w:rsidP="004E77F8">
      <w:pPr>
        <w:rPr>
          <w:b/>
          <w:bCs/>
          <w:lang w:val="en-US"/>
        </w:rPr>
      </w:pPr>
    </w:p>
    <w:p w14:paraId="3D4107BE" w14:textId="77777777" w:rsidR="004E77F8" w:rsidRDefault="00C1716B" w:rsidP="00A2509B">
      <w:pPr>
        <w:jc w:val="center"/>
        <w:rPr>
          <w:b/>
          <w:bCs/>
          <w:lang w:val="en-US"/>
        </w:rPr>
      </w:pPr>
      <w:r w:rsidRPr="00A2509B">
        <w:rPr>
          <w:b/>
          <w:bCs/>
          <w:lang w:val="en-US"/>
        </w:rPr>
        <w:t>Terms of Reference</w:t>
      </w:r>
      <w:r w:rsidR="004E77F8">
        <w:rPr>
          <w:b/>
          <w:bCs/>
          <w:lang w:val="en-US"/>
        </w:rPr>
        <w:t xml:space="preserve">: </w:t>
      </w:r>
    </w:p>
    <w:p w14:paraId="193177FC" w14:textId="7D914887" w:rsidR="00C1716B" w:rsidRPr="00676EFB" w:rsidRDefault="004E77F8" w:rsidP="00A2509B">
      <w:pPr>
        <w:jc w:val="center"/>
        <w:rPr>
          <w:lang w:val="en-US"/>
        </w:rPr>
      </w:pPr>
      <w:r w:rsidRPr="00676EFB">
        <w:rPr>
          <w:lang w:val="en-US"/>
        </w:rPr>
        <w:t xml:space="preserve">Consultant for </w:t>
      </w:r>
      <w:r w:rsidR="00934493" w:rsidRPr="000A6D61">
        <w:rPr>
          <w:lang w:val="en-US"/>
        </w:rPr>
        <w:t xml:space="preserve">Advanced Peacebuilding Skills </w:t>
      </w:r>
      <w:r w:rsidR="00280FCC">
        <w:rPr>
          <w:lang w:val="en-US"/>
        </w:rPr>
        <w:t xml:space="preserve">Course </w:t>
      </w:r>
      <w:r w:rsidR="00934493" w:rsidRPr="000A6D61">
        <w:rPr>
          <w:lang w:val="en-US"/>
        </w:rPr>
        <w:t>Delivery Methodology</w:t>
      </w:r>
      <w:r w:rsidR="00934493">
        <w:rPr>
          <w:rFonts w:cs="Arial"/>
          <w:sz w:val="21"/>
          <w:szCs w:val="21"/>
        </w:rPr>
        <w:t xml:space="preserve"> </w:t>
      </w:r>
      <w:r w:rsidR="00DF0A6E">
        <w:rPr>
          <w:rFonts w:cs="Arial"/>
          <w:sz w:val="21"/>
          <w:szCs w:val="21"/>
        </w:rPr>
        <w:t xml:space="preserve">Development </w:t>
      </w:r>
    </w:p>
    <w:p w14:paraId="74ACA677" w14:textId="1E7B2A7A" w:rsidR="00C1716B" w:rsidRDefault="00C1716B">
      <w:pPr>
        <w:rPr>
          <w:lang w:val="en-US"/>
        </w:rPr>
      </w:pPr>
    </w:p>
    <w:p w14:paraId="76195EE9" w14:textId="465B139E" w:rsidR="00C1716B" w:rsidRDefault="00C1716B">
      <w:pPr>
        <w:rPr>
          <w:lang w:val="en-US"/>
        </w:rPr>
      </w:pPr>
    </w:p>
    <w:p w14:paraId="45F8977C" w14:textId="38E212EF" w:rsidR="001D7339" w:rsidRPr="00676EFB" w:rsidRDefault="001D7339" w:rsidP="00C25332">
      <w:pPr>
        <w:pStyle w:val="ListParagraph"/>
        <w:numPr>
          <w:ilvl w:val="0"/>
          <w:numId w:val="3"/>
        </w:numPr>
        <w:rPr>
          <w:b/>
          <w:bCs/>
          <w:lang w:val="en-US"/>
        </w:rPr>
      </w:pPr>
      <w:r w:rsidRPr="00676EFB">
        <w:rPr>
          <w:b/>
          <w:bCs/>
          <w:lang w:val="en-US"/>
        </w:rPr>
        <w:t>GENERAL</w:t>
      </w:r>
    </w:p>
    <w:p w14:paraId="3A74DBC9" w14:textId="7FE7C9F9" w:rsidR="001D7339" w:rsidRPr="006D7588" w:rsidRDefault="001D7339" w:rsidP="00AC0084">
      <w:pPr>
        <w:tabs>
          <w:tab w:val="left" w:pos="709"/>
        </w:tabs>
        <w:ind w:left="2127" w:hanging="2127"/>
        <w:rPr>
          <w:rFonts w:cs="Arial"/>
          <w:sz w:val="21"/>
          <w:szCs w:val="21"/>
        </w:rPr>
      </w:pPr>
      <w:r w:rsidRPr="006D7588">
        <w:rPr>
          <w:rFonts w:cs="Arial"/>
          <w:b/>
          <w:bCs/>
          <w:sz w:val="21"/>
          <w:szCs w:val="21"/>
        </w:rPr>
        <w:t>Position Title:</w:t>
      </w:r>
      <w:r w:rsidRPr="006D7588">
        <w:rPr>
          <w:rFonts w:cs="Arial"/>
          <w:sz w:val="21"/>
          <w:szCs w:val="21"/>
        </w:rPr>
        <w:t xml:space="preserve"> </w:t>
      </w:r>
      <w:r w:rsidRPr="006D7588">
        <w:rPr>
          <w:rFonts w:cs="Arial"/>
          <w:sz w:val="21"/>
          <w:szCs w:val="21"/>
        </w:rPr>
        <w:tab/>
      </w:r>
      <w:r w:rsidRPr="006D7588">
        <w:rPr>
          <w:rFonts w:cs="Arial"/>
          <w:sz w:val="21"/>
          <w:szCs w:val="21"/>
        </w:rPr>
        <w:tab/>
        <w:t>Consultan</w:t>
      </w:r>
      <w:r w:rsidR="00AC0084" w:rsidRPr="006D7588">
        <w:rPr>
          <w:rFonts w:cs="Arial"/>
          <w:sz w:val="21"/>
          <w:szCs w:val="21"/>
        </w:rPr>
        <w:t>cy</w:t>
      </w:r>
      <w:r w:rsidRPr="006D7588">
        <w:rPr>
          <w:rFonts w:cs="Arial"/>
          <w:sz w:val="21"/>
          <w:szCs w:val="21"/>
        </w:rPr>
        <w:t xml:space="preserve"> –</w:t>
      </w:r>
      <w:r w:rsidR="004E77F8" w:rsidRPr="006D7588">
        <w:rPr>
          <w:rFonts w:cs="Arial"/>
          <w:sz w:val="21"/>
          <w:szCs w:val="21"/>
        </w:rPr>
        <w:t xml:space="preserve"> </w:t>
      </w:r>
      <w:r w:rsidR="00E44B9A" w:rsidRPr="006D7588">
        <w:rPr>
          <w:rFonts w:cs="Arial"/>
          <w:sz w:val="21"/>
          <w:szCs w:val="21"/>
        </w:rPr>
        <w:t>Advanced Peacebuilding</w:t>
      </w:r>
      <w:r w:rsidR="00280FCC">
        <w:rPr>
          <w:rFonts w:cs="Arial"/>
          <w:sz w:val="21"/>
          <w:szCs w:val="21"/>
        </w:rPr>
        <w:t xml:space="preserve"> Course</w:t>
      </w:r>
      <w:r w:rsidR="00E44B9A" w:rsidRPr="006D7588">
        <w:rPr>
          <w:rFonts w:cs="Arial"/>
          <w:sz w:val="21"/>
          <w:szCs w:val="21"/>
        </w:rPr>
        <w:t xml:space="preserve"> Skills </w:t>
      </w:r>
      <w:r w:rsidR="00934493">
        <w:rPr>
          <w:rFonts w:cs="Arial"/>
          <w:sz w:val="21"/>
          <w:szCs w:val="21"/>
        </w:rPr>
        <w:t xml:space="preserve">Delivery Methodology </w:t>
      </w:r>
      <w:r w:rsidR="00DF0A6E">
        <w:rPr>
          <w:rFonts w:cs="Arial"/>
          <w:sz w:val="21"/>
          <w:szCs w:val="21"/>
        </w:rPr>
        <w:t>Development</w:t>
      </w:r>
    </w:p>
    <w:p w14:paraId="30206EAF" w14:textId="445E0F59" w:rsidR="001D7339" w:rsidRPr="006D7588" w:rsidRDefault="001D7339" w:rsidP="00AC0084">
      <w:pPr>
        <w:tabs>
          <w:tab w:val="left" w:pos="709"/>
        </w:tabs>
        <w:ind w:left="2127" w:hanging="2127"/>
        <w:rPr>
          <w:rFonts w:cs="Arial"/>
          <w:sz w:val="21"/>
          <w:szCs w:val="21"/>
        </w:rPr>
      </w:pPr>
      <w:r w:rsidRPr="006D7588">
        <w:rPr>
          <w:rFonts w:cs="Arial"/>
          <w:b/>
          <w:bCs/>
          <w:sz w:val="21"/>
          <w:szCs w:val="21"/>
        </w:rPr>
        <w:t>Location:</w:t>
      </w:r>
      <w:r w:rsidRPr="006D7588">
        <w:rPr>
          <w:rFonts w:cs="Arial"/>
          <w:sz w:val="21"/>
          <w:szCs w:val="21"/>
        </w:rPr>
        <w:t xml:space="preserve"> </w:t>
      </w:r>
      <w:r w:rsidRPr="006D7588">
        <w:rPr>
          <w:rFonts w:cs="Arial"/>
          <w:sz w:val="21"/>
          <w:szCs w:val="21"/>
        </w:rPr>
        <w:tab/>
      </w:r>
      <w:r w:rsidRPr="006D7588">
        <w:rPr>
          <w:rFonts w:cs="Arial"/>
          <w:sz w:val="21"/>
          <w:szCs w:val="21"/>
        </w:rPr>
        <w:tab/>
        <w:t>Flexible</w:t>
      </w:r>
      <w:r w:rsidR="00AC0084" w:rsidRPr="006D7588">
        <w:rPr>
          <w:rFonts w:cs="Arial"/>
          <w:sz w:val="21"/>
          <w:szCs w:val="21"/>
        </w:rPr>
        <w:t xml:space="preserve"> (</w:t>
      </w:r>
      <w:r w:rsidR="00F85714" w:rsidRPr="006D7588">
        <w:rPr>
          <w:rFonts w:cs="Arial"/>
          <w:sz w:val="21"/>
          <w:szCs w:val="21"/>
        </w:rPr>
        <w:t>remote)</w:t>
      </w:r>
    </w:p>
    <w:p w14:paraId="1065A959" w14:textId="55DF669D" w:rsidR="001D7339" w:rsidRDefault="001D7339" w:rsidP="001D7339">
      <w:pPr>
        <w:tabs>
          <w:tab w:val="left" w:pos="709"/>
        </w:tabs>
        <w:rPr>
          <w:rFonts w:cs="Arial"/>
          <w:sz w:val="21"/>
          <w:szCs w:val="21"/>
        </w:rPr>
      </w:pPr>
      <w:r w:rsidRPr="006D7588">
        <w:rPr>
          <w:rFonts w:cs="Arial"/>
          <w:b/>
          <w:bCs/>
          <w:sz w:val="21"/>
          <w:szCs w:val="21"/>
        </w:rPr>
        <w:t>Duration:</w:t>
      </w:r>
      <w:r w:rsidRPr="006D7588">
        <w:rPr>
          <w:rFonts w:cs="Arial"/>
          <w:sz w:val="21"/>
          <w:szCs w:val="21"/>
        </w:rPr>
        <w:t xml:space="preserve"> </w:t>
      </w:r>
      <w:r w:rsidRPr="006D7588">
        <w:rPr>
          <w:rFonts w:cs="Arial"/>
          <w:sz w:val="21"/>
          <w:szCs w:val="21"/>
        </w:rPr>
        <w:tab/>
      </w:r>
      <w:r w:rsidRPr="006D7588">
        <w:rPr>
          <w:rFonts w:cs="Arial"/>
          <w:sz w:val="21"/>
          <w:szCs w:val="21"/>
        </w:rPr>
        <w:tab/>
      </w:r>
      <w:r w:rsidR="00214EA0" w:rsidRPr="000A6D61">
        <w:rPr>
          <w:rFonts w:cs="Arial"/>
          <w:sz w:val="21"/>
          <w:szCs w:val="21"/>
        </w:rPr>
        <w:t>3</w:t>
      </w:r>
      <w:r w:rsidRPr="000A6D61">
        <w:rPr>
          <w:rFonts w:cs="Arial"/>
          <w:sz w:val="21"/>
          <w:szCs w:val="21"/>
        </w:rPr>
        <w:t xml:space="preserve"> Months from </w:t>
      </w:r>
      <w:r w:rsidR="00934493" w:rsidRPr="000A6D61">
        <w:rPr>
          <w:rFonts w:cs="Arial"/>
          <w:sz w:val="21"/>
          <w:szCs w:val="21"/>
        </w:rPr>
        <w:t xml:space="preserve">July </w:t>
      </w:r>
      <w:r w:rsidRPr="000A6D61">
        <w:rPr>
          <w:rFonts w:cs="Arial"/>
          <w:sz w:val="21"/>
          <w:szCs w:val="21"/>
        </w:rPr>
        <w:t xml:space="preserve">to </w:t>
      </w:r>
      <w:r w:rsidR="00717418" w:rsidRPr="000A6D61">
        <w:rPr>
          <w:rFonts w:cs="Arial"/>
          <w:sz w:val="21"/>
          <w:szCs w:val="21"/>
        </w:rPr>
        <w:t>October</w:t>
      </w:r>
      <w:r w:rsidRPr="000A6D61">
        <w:rPr>
          <w:rFonts w:cs="Arial"/>
          <w:sz w:val="21"/>
          <w:szCs w:val="21"/>
        </w:rPr>
        <w:t xml:space="preserve"> 2021</w:t>
      </w:r>
    </w:p>
    <w:p w14:paraId="5535973C" w14:textId="476C54B5" w:rsidR="00F52848" w:rsidRPr="006D7588" w:rsidRDefault="00F52848" w:rsidP="001D7339">
      <w:pPr>
        <w:tabs>
          <w:tab w:val="left" w:pos="709"/>
        </w:tabs>
        <w:rPr>
          <w:rFonts w:cs="Arial"/>
          <w:sz w:val="21"/>
          <w:szCs w:val="21"/>
        </w:rPr>
      </w:pPr>
      <w:r w:rsidRPr="000A6D61">
        <w:rPr>
          <w:rFonts w:cs="Arial"/>
          <w:b/>
          <w:bCs/>
          <w:sz w:val="21"/>
          <w:szCs w:val="21"/>
        </w:rPr>
        <w:t>Total days:</w:t>
      </w:r>
      <w:r>
        <w:rPr>
          <w:rFonts w:cs="Arial"/>
          <w:sz w:val="21"/>
          <w:szCs w:val="21"/>
        </w:rPr>
        <w:t xml:space="preserve"> </w:t>
      </w:r>
      <w:r>
        <w:rPr>
          <w:rFonts w:cs="Arial"/>
          <w:sz w:val="21"/>
          <w:szCs w:val="21"/>
        </w:rPr>
        <w:tab/>
      </w:r>
      <w:r>
        <w:rPr>
          <w:rFonts w:cs="Arial"/>
          <w:sz w:val="21"/>
          <w:szCs w:val="21"/>
        </w:rPr>
        <w:tab/>
      </w:r>
      <w:r w:rsidR="00D93416">
        <w:rPr>
          <w:rFonts w:cs="Arial"/>
          <w:sz w:val="21"/>
          <w:szCs w:val="21"/>
        </w:rPr>
        <w:t>U</w:t>
      </w:r>
      <w:r>
        <w:rPr>
          <w:rFonts w:cs="Arial"/>
          <w:sz w:val="21"/>
          <w:szCs w:val="21"/>
        </w:rPr>
        <w:t>p to 23 days spread over the course of the consultancy</w:t>
      </w:r>
    </w:p>
    <w:p w14:paraId="271E7EC5" w14:textId="140293C7" w:rsidR="001D7339" w:rsidRPr="006D7588" w:rsidRDefault="001D7339" w:rsidP="001D7339">
      <w:pPr>
        <w:tabs>
          <w:tab w:val="left" w:pos="709"/>
        </w:tabs>
        <w:rPr>
          <w:rFonts w:cs="Arial"/>
          <w:sz w:val="21"/>
          <w:szCs w:val="21"/>
        </w:rPr>
      </w:pPr>
      <w:r w:rsidRPr="006D7588">
        <w:rPr>
          <w:rFonts w:cs="Arial"/>
          <w:b/>
          <w:bCs/>
          <w:sz w:val="21"/>
          <w:szCs w:val="21"/>
        </w:rPr>
        <w:t xml:space="preserve">Reporting to: </w:t>
      </w:r>
      <w:r w:rsidRPr="006D7588">
        <w:rPr>
          <w:rFonts w:cs="Arial"/>
          <w:sz w:val="21"/>
          <w:szCs w:val="21"/>
        </w:rPr>
        <w:tab/>
      </w:r>
      <w:r w:rsidRPr="006D7588">
        <w:rPr>
          <w:rFonts w:cs="Arial"/>
          <w:sz w:val="21"/>
          <w:szCs w:val="21"/>
        </w:rPr>
        <w:tab/>
        <w:t xml:space="preserve">Papua New Guinea Project Manager </w:t>
      </w:r>
    </w:p>
    <w:p w14:paraId="2CB51930" w14:textId="77777777" w:rsidR="001D7339" w:rsidRPr="005632F7" w:rsidRDefault="001D7339" w:rsidP="000A6D61">
      <w:pPr>
        <w:rPr>
          <w:lang w:val="en-US"/>
        </w:rPr>
      </w:pPr>
    </w:p>
    <w:p w14:paraId="0694B46A" w14:textId="4AF366FC" w:rsidR="0002394D" w:rsidRPr="000A6D61" w:rsidRDefault="004E77F8" w:rsidP="000A6D61">
      <w:pPr>
        <w:pStyle w:val="ListParagraph"/>
        <w:numPr>
          <w:ilvl w:val="0"/>
          <w:numId w:val="3"/>
        </w:numPr>
        <w:rPr>
          <w:lang w:val="en-US"/>
        </w:rPr>
      </w:pPr>
      <w:r w:rsidRPr="00676EFB">
        <w:rPr>
          <w:b/>
          <w:bCs/>
          <w:lang w:val="en-US"/>
        </w:rPr>
        <w:t>BACKGROUND</w:t>
      </w:r>
    </w:p>
    <w:p w14:paraId="0DFCD2D4" w14:textId="77777777" w:rsidR="005C7310" w:rsidRPr="006D7588" w:rsidRDefault="005C7310" w:rsidP="005C7310">
      <w:pPr>
        <w:ind w:right="-205"/>
        <w:rPr>
          <w:rFonts w:cs="Arial"/>
          <w:b/>
          <w:sz w:val="21"/>
          <w:szCs w:val="21"/>
        </w:rPr>
      </w:pPr>
      <w:r w:rsidRPr="006D7588">
        <w:rPr>
          <w:rFonts w:cs="Arial"/>
          <w:b/>
          <w:sz w:val="21"/>
          <w:szCs w:val="21"/>
        </w:rPr>
        <w:t>Conciliation Resources</w:t>
      </w:r>
    </w:p>
    <w:p w14:paraId="15E016D7" w14:textId="023996FC" w:rsidR="00B50049" w:rsidRPr="00AF7BC8" w:rsidRDefault="005C7310" w:rsidP="00AF7BC8">
      <w:pPr>
        <w:spacing w:after="120"/>
        <w:ind w:right="-205"/>
        <w:jc w:val="both"/>
        <w:rPr>
          <w:rFonts w:cs="Arial"/>
          <w:sz w:val="21"/>
          <w:szCs w:val="21"/>
        </w:rPr>
      </w:pPr>
      <w:r w:rsidRPr="006D7588">
        <w:rPr>
          <w:rFonts w:cs="Arial"/>
          <w:sz w:val="21"/>
          <w:szCs w:val="21"/>
        </w:rPr>
        <w:t xml:space="preserve">Conciliation Resources is an independent organisation working with people in conflict to prevent violence and build peace, providing advice, support and practical resources. In addition, we take what we learn to government decision-makers and others working to end conflict, to improve peacebuilding policies and practice worldwide. Conciliation Resources was established in 1994 and incorporated in 1996 as a company with charitable status. We currently have </w:t>
      </w:r>
      <w:r w:rsidR="00305498" w:rsidRPr="000A6D61">
        <w:rPr>
          <w:rFonts w:cs="Arial"/>
          <w:sz w:val="21"/>
          <w:szCs w:val="21"/>
        </w:rPr>
        <w:t xml:space="preserve">over 70 </w:t>
      </w:r>
      <w:r w:rsidRPr="000A6D61">
        <w:rPr>
          <w:rFonts w:cs="Arial"/>
          <w:sz w:val="21"/>
          <w:szCs w:val="21"/>
        </w:rPr>
        <w:t>full</w:t>
      </w:r>
      <w:r w:rsidRPr="006D7588">
        <w:rPr>
          <w:rFonts w:cs="Arial"/>
          <w:sz w:val="21"/>
          <w:szCs w:val="21"/>
        </w:rPr>
        <w:t xml:space="preserve"> and part-time staff members with a number based outside of the UK. In addition, we use a number of consultants and volunteers to support our work. </w:t>
      </w:r>
    </w:p>
    <w:p w14:paraId="24620435" w14:textId="7EBB8584" w:rsidR="009B417A" w:rsidRPr="00AF7BC8" w:rsidRDefault="005C7310" w:rsidP="00AF7BC8">
      <w:pPr>
        <w:spacing w:after="120"/>
        <w:ind w:right="-205"/>
        <w:jc w:val="both"/>
        <w:rPr>
          <w:rFonts w:cs="Arial"/>
          <w:sz w:val="21"/>
          <w:szCs w:val="21"/>
        </w:rPr>
      </w:pPr>
      <w:r w:rsidRPr="006D7588">
        <w:rPr>
          <w:rFonts w:cs="Arial"/>
          <w:sz w:val="21"/>
          <w:szCs w:val="21"/>
        </w:rPr>
        <w:t xml:space="preserve">Conciliation Resources has worked in the Pacific region since 1994. The organisation first worked in Bougainville (as autonomous region of Papua New Guinea) in 2001, with the Bougainville Inter-Church Women’s Forum to develop a literacy toolkit to raise awareness of the conflict and how Bougainville residents could become involved in the peace process. In 2002 Conciliation Resources produced an Accord publication (Conciliation Resources’ flagship series), analysing the Bougainville peace process, the resultant peace agreement and the challenges ahead in implementing and consolidating peace. </w:t>
      </w:r>
    </w:p>
    <w:p w14:paraId="76B66DAA" w14:textId="6B2EF17F" w:rsidR="006D6F7E" w:rsidRPr="006D7588" w:rsidRDefault="005521E0" w:rsidP="00AF7BC8">
      <w:pPr>
        <w:tabs>
          <w:tab w:val="left" w:pos="2280"/>
        </w:tabs>
        <w:spacing w:after="120"/>
        <w:jc w:val="both"/>
        <w:rPr>
          <w:rFonts w:cs="Arial"/>
          <w:sz w:val="21"/>
          <w:szCs w:val="21"/>
        </w:rPr>
      </w:pPr>
      <w:r w:rsidRPr="006D7588">
        <w:rPr>
          <w:rFonts w:cs="Arial"/>
          <w:sz w:val="21"/>
          <w:szCs w:val="21"/>
        </w:rPr>
        <w:t xml:space="preserve">The Nazareth Centre for Rehabilitation (NCFR), founded in 2001, focuses its programmes on peacebuilding, gender-based violence, the promotion of human rights and local community development. NCFR has a long history of promoting peace and reconciliation in Bougainville, including programmes for ex-combatant rehabilitation, community leader empowerment and trauma healing. </w:t>
      </w:r>
    </w:p>
    <w:p w14:paraId="6F1FF605" w14:textId="00B9E5ED" w:rsidR="005521E0" w:rsidRPr="006D7588" w:rsidRDefault="005521E0" w:rsidP="00AF7BC8">
      <w:pPr>
        <w:tabs>
          <w:tab w:val="left" w:pos="2280"/>
        </w:tabs>
        <w:spacing w:after="120"/>
        <w:jc w:val="both"/>
        <w:rPr>
          <w:rFonts w:cs="Arial"/>
          <w:sz w:val="21"/>
          <w:szCs w:val="21"/>
        </w:rPr>
      </w:pPr>
      <w:r w:rsidRPr="006D7588">
        <w:rPr>
          <w:rFonts w:cs="Arial"/>
          <w:sz w:val="21"/>
          <w:szCs w:val="21"/>
        </w:rPr>
        <w:t xml:space="preserve">Throughout 2016-2019, NCFR (in partnership with Conciliation Resources) has led a wide range of peacebuilding training courses and community dialogue events with community leadership groups from across Bougainville (including with community leaders, church leaders, ex-combatants, women and youth leaders). This work has been successful in supporting community leadership to better understand, analyse and respond to post-conflict challenges and localised disputes in their communities, and collectively, has supported increased resilience within communities to manage emerging tensions and maintain stability. </w:t>
      </w:r>
    </w:p>
    <w:p w14:paraId="1C8A2C98" w14:textId="72347CA2" w:rsidR="00A2509B" w:rsidRPr="006D7588" w:rsidRDefault="00E44B9A" w:rsidP="00AF7BC8">
      <w:pPr>
        <w:spacing w:after="120"/>
        <w:jc w:val="both"/>
        <w:rPr>
          <w:rFonts w:cs="Arial"/>
          <w:sz w:val="21"/>
          <w:szCs w:val="21"/>
        </w:rPr>
      </w:pPr>
      <w:r w:rsidRPr="006D7588">
        <w:rPr>
          <w:rFonts w:cs="Arial"/>
          <w:sz w:val="21"/>
          <w:szCs w:val="21"/>
        </w:rPr>
        <w:t xml:space="preserve">As the Capacities for Peace programme has evolved since 2016, </w:t>
      </w:r>
      <w:r w:rsidR="00850C48" w:rsidRPr="006D7588">
        <w:rPr>
          <w:rFonts w:cs="Arial"/>
          <w:sz w:val="21"/>
          <w:szCs w:val="21"/>
        </w:rPr>
        <w:t xml:space="preserve">NCFR is being increasingly relied upon to respond to complex emerging peacebuilding issues and to provide support to a large network of community-based peacebuilding actors. This level of support requires continued investment in strengthening peacebuilding expertise and skills (including mediation, negotiation, facilitation and advocacy skills, conducting complex conflict analysis and employing adaptive programming). </w:t>
      </w:r>
    </w:p>
    <w:p w14:paraId="32A96D0E" w14:textId="7B5E886F" w:rsidR="00850C48" w:rsidRPr="00676EFB" w:rsidRDefault="00676EFB" w:rsidP="00850C48">
      <w:pPr>
        <w:pStyle w:val="ListParagraph"/>
        <w:numPr>
          <w:ilvl w:val="0"/>
          <w:numId w:val="3"/>
        </w:numPr>
        <w:rPr>
          <w:b/>
          <w:bCs/>
          <w:lang w:val="en-US"/>
        </w:rPr>
      </w:pPr>
      <w:r w:rsidRPr="00676EFB">
        <w:rPr>
          <w:b/>
          <w:bCs/>
          <w:lang w:val="en-US"/>
        </w:rPr>
        <w:t>OBJECTIVE</w:t>
      </w:r>
    </w:p>
    <w:p w14:paraId="52438963" w14:textId="77777777" w:rsidR="00BB7A89" w:rsidRDefault="006D6F7E" w:rsidP="006D6F7E">
      <w:pPr>
        <w:jc w:val="both"/>
        <w:rPr>
          <w:rFonts w:cs="Arial"/>
          <w:sz w:val="21"/>
          <w:szCs w:val="21"/>
        </w:rPr>
      </w:pPr>
      <w:r w:rsidRPr="006D7588">
        <w:rPr>
          <w:rFonts w:cs="Arial"/>
          <w:sz w:val="21"/>
          <w:szCs w:val="21"/>
        </w:rPr>
        <w:t>The overall objective of the consultancy is to develop</w:t>
      </w:r>
      <w:r w:rsidR="00937408">
        <w:rPr>
          <w:rFonts w:cs="Arial"/>
          <w:sz w:val="21"/>
          <w:szCs w:val="21"/>
        </w:rPr>
        <w:t xml:space="preserve"> </w:t>
      </w:r>
      <w:r w:rsidR="00CC0DA6">
        <w:rPr>
          <w:rFonts w:cs="Arial"/>
          <w:sz w:val="21"/>
          <w:szCs w:val="21"/>
        </w:rPr>
        <w:t xml:space="preserve">the </w:t>
      </w:r>
      <w:r w:rsidR="00937408" w:rsidRPr="000A6D61">
        <w:rPr>
          <w:rFonts w:cs="Arial"/>
          <w:b/>
          <w:bCs/>
          <w:sz w:val="21"/>
          <w:szCs w:val="21"/>
        </w:rPr>
        <w:t>delivery methodology</w:t>
      </w:r>
      <w:r w:rsidRPr="000A6D61">
        <w:rPr>
          <w:rFonts w:cs="Arial"/>
          <w:b/>
          <w:bCs/>
          <w:sz w:val="21"/>
          <w:szCs w:val="21"/>
        </w:rPr>
        <w:t xml:space="preserve"> </w:t>
      </w:r>
      <w:r w:rsidR="00937408" w:rsidRPr="000A6D61">
        <w:rPr>
          <w:rFonts w:cs="Arial"/>
          <w:b/>
          <w:bCs/>
          <w:sz w:val="21"/>
          <w:szCs w:val="21"/>
        </w:rPr>
        <w:t>for an</w:t>
      </w:r>
      <w:r w:rsidR="00916D0F" w:rsidRPr="000A6D61">
        <w:rPr>
          <w:rFonts w:cs="Arial"/>
          <w:b/>
          <w:bCs/>
          <w:sz w:val="21"/>
          <w:szCs w:val="21"/>
        </w:rPr>
        <w:t xml:space="preserve"> </w:t>
      </w:r>
      <w:r w:rsidRPr="006D7588">
        <w:rPr>
          <w:rFonts w:cs="Arial"/>
          <w:b/>
          <w:bCs/>
          <w:sz w:val="21"/>
          <w:szCs w:val="21"/>
        </w:rPr>
        <w:t>advanced training (training of trainers) in mediation and negotiation, and facilitation skills</w:t>
      </w:r>
      <w:r w:rsidRPr="006D7588">
        <w:rPr>
          <w:rFonts w:cs="Arial"/>
          <w:sz w:val="21"/>
          <w:szCs w:val="21"/>
        </w:rPr>
        <w:t xml:space="preserve"> for NCFR. The course will equip NCFR staff and facilitation teams with the skills to better respond to complex and protracted conflict issues and add additional training elements to their own workshop training modules. These specific skills have been requested by NCFR staff and facilitators and by past community leaders workshop participants as skills that are needed to more effectively manage community conflict issues. </w:t>
      </w:r>
    </w:p>
    <w:p w14:paraId="0E9895E2" w14:textId="391E1620" w:rsidR="00305498" w:rsidRDefault="006D6F7E" w:rsidP="006D6F7E">
      <w:pPr>
        <w:jc w:val="both"/>
        <w:rPr>
          <w:rFonts w:cs="Arial"/>
          <w:sz w:val="21"/>
          <w:szCs w:val="21"/>
        </w:rPr>
      </w:pPr>
      <w:r w:rsidRPr="006D7588">
        <w:rPr>
          <w:rFonts w:cs="Arial"/>
          <w:sz w:val="21"/>
          <w:szCs w:val="21"/>
        </w:rPr>
        <w:lastRenderedPageBreak/>
        <w:t xml:space="preserve">It is essential that the training </w:t>
      </w:r>
      <w:r w:rsidR="005267EA" w:rsidRPr="006D7588">
        <w:rPr>
          <w:rFonts w:cs="Arial"/>
          <w:sz w:val="21"/>
          <w:szCs w:val="21"/>
        </w:rPr>
        <w:t>incorporate</w:t>
      </w:r>
      <w:r w:rsidR="00FD25ED">
        <w:rPr>
          <w:rFonts w:cs="Arial"/>
          <w:sz w:val="21"/>
          <w:szCs w:val="21"/>
        </w:rPr>
        <w:t>s</w:t>
      </w:r>
      <w:r w:rsidRPr="006D7588">
        <w:rPr>
          <w:rFonts w:cs="Arial"/>
          <w:sz w:val="21"/>
          <w:szCs w:val="21"/>
        </w:rPr>
        <w:t xml:space="preserve"> indigenous Pacific approaches to peacebuilding and conflict resolution</w:t>
      </w:r>
      <w:r w:rsidR="005E49E0">
        <w:rPr>
          <w:rFonts w:cs="Arial"/>
          <w:sz w:val="21"/>
          <w:szCs w:val="21"/>
        </w:rPr>
        <w:t xml:space="preserve"> and</w:t>
      </w:r>
      <w:r w:rsidR="00033A8C">
        <w:rPr>
          <w:rFonts w:cs="Arial"/>
          <w:sz w:val="21"/>
          <w:szCs w:val="21"/>
        </w:rPr>
        <w:t xml:space="preserve"> takes into consideration context specific dynamics</w:t>
      </w:r>
      <w:r w:rsidR="005E49E0">
        <w:rPr>
          <w:rFonts w:cs="Arial"/>
          <w:sz w:val="21"/>
          <w:szCs w:val="21"/>
        </w:rPr>
        <w:t>.</w:t>
      </w:r>
      <w:r w:rsidR="00033A8C">
        <w:rPr>
          <w:rFonts w:cs="Arial"/>
          <w:sz w:val="21"/>
          <w:szCs w:val="21"/>
        </w:rPr>
        <w:t xml:space="preserve"> </w:t>
      </w:r>
      <w:r w:rsidR="005E49E0">
        <w:rPr>
          <w:rFonts w:cs="Arial"/>
          <w:sz w:val="21"/>
          <w:szCs w:val="21"/>
        </w:rPr>
        <w:t>The</w:t>
      </w:r>
      <w:r w:rsidR="00033A8C">
        <w:rPr>
          <w:rFonts w:cs="Arial"/>
          <w:sz w:val="21"/>
          <w:szCs w:val="21"/>
        </w:rPr>
        <w:t xml:space="preserve"> course curriculum and content will be </w:t>
      </w:r>
      <w:r w:rsidR="005E49E0">
        <w:rPr>
          <w:rFonts w:cs="Arial"/>
          <w:sz w:val="21"/>
          <w:szCs w:val="21"/>
        </w:rPr>
        <w:t xml:space="preserve">developed and delivered </w:t>
      </w:r>
      <w:r w:rsidR="00033A8C">
        <w:rPr>
          <w:rFonts w:cs="Arial"/>
          <w:sz w:val="21"/>
          <w:szCs w:val="21"/>
        </w:rPr>
        <w:t xml:space="preserve">by </w:t>
      </w:r>
      <w:r w:rsidR="005E49E0">
        <w:rPr>
          <w:rFonts w:cs="Arial"/>
          <w:sz w:val="21"/>
          <w:szCs w:val="21"/>
        </w:rPr>
        <w:t xml:space="preserve">Conciliation Resources in partnership with a Pacific based peacebuilding organisation. </w:t>
      </w:r>
      <w:r w:rsidR="005E49E0" w:rsidRPr="000642B5">
        <w:rPr>
          <w:rFonts w:cs="Arial"/>
          <w:sz w:val="21"/>
          <w:szCs w:val="21"/>
        </w:rPr>
        <w:t>Th</w:t>
      </w:r>
      <w:r w:rsidR="005E49E0" w:rsidRPr="009C2BB9">
        <w:rPr>
          <w:rFonts w:cs="Arial"/>
          <w:sz w:val="21"/>
          <w:szCs w:val="21"/>
        </w:rPr>
        <w:t>e</w:t>
      </w:r>
      <w:r w:rsidR="005E49E0" w:rsidRPr="000642B5">
        <w:rPr>
          <w:rFonts w:cs="Arial"/>
          <w:sz w:val="21"/>
          <w:szCs w:val="21"/>
        </w:rPr>
        <w:t xml:space="preserve"> consultan</w:t>
      </w:r>
      <w:r w:rsidR="005E49E0" w:rsidRPr="009C2BB9">
        <w:rPr>
          <w:rFonts w:cs="Arial"/>
          <w:sz w:val="21"/>
          <w:szCs w:val="21"/>
        </w:rPr>
        <w:t>t</w:t>
      </w:r>
      <w:r w:rsidR="005E49E0" w:rsidRPr="000642B5">
        <w:rPr>
          <w:rFonts w:cs="Arial"/>
          <w:sz w:val="21"/>
          <w:szCs w:val="21"/>
        </w:rPr>
        <w:t xml:space="preserve"> will work closely with the course curriculum development </w:t>
      </w:r>
      <w:r w:rsidR="00C763A4">
        <w:rPr>
          <w:rFonts w:cs="Arial"/>
          <w:sz w:val="21"/>
          <w:szCs w:val="21"/>
        </w:rPr>
        <w:t xml:space="preserve">and delivery </w:t>
      </w:r>
      <w:r w:rsidR="005E49E0" w:rsidRPr="009C2BB9">
        <w:rPr>
          <w:rFonts w:cs="Arial"/>
          <w:sz w:val="21"/>
          <w:szCs w:val="21"/>
        </w:rPr>
        <w:t>team</w:t>
      </w:r>
      <w:r w:rsidR="005E49E0" w:rsidRPr="000642B5">
        <w:rPr>
          <w:rFonts w:cs="Arial"/>
          <w:sz w:val="21"/>
          <w:szCs w:val="21"/>
        </w:rPr>
        <w:t xml:space="preserve"> to ensure that the curriculum and the development of the delivery methodology and resources are compatible.</w:t>
      </w:r>
      <w:r w:rsidR="005E49E0">
        <w:rPr>
          <w:rFonts w:cs="Arial"/>
          <w:sz w:val="21"/>
          <w:szCs w:val="21"/>
        </w:rPr>
        <w:t xml:space="preserve"> </w:t>
      </w:r>
      <w:r w:rsidR="00F83E08" w:rsidRPr="00F83E08">
        <w:rPr>
          <w:rFonts w:cs="Arial"/>
          <w:sz w:val="21"/>
          <w:szCs w:val="21"/>
        </w:rPr>
        <w:t xml:space="preserve"> </w:t>
      </w:r>
      <w:r w:rsidR="00F83E08" w:rsidRPr="00F83E08">
        <w:rPr>
          <w:rFonts w:cs="Arial"/>
          <w:sz w:val="21"/>
          <w:szCs w:val="21"/>
        </w:rPr>
        <w:t>Throughout the implementation of the training programme,</w:t>
      </w:r>
      <w:r w:rsidR="00F83E08" w:rsidRPr="00F83E08">
        <w:rPr>
          <w:rFonts w:cs="Arial"/>
          <w:sz w:val="21"/>
          <w:szCs w:val="21"/>
        </w:rPr>
        <w:t xml:space="preserve"> the consultant will also</w:t>
      </w:r>
      <w:r w:rsidR="00F83E08" w:rsidRPr="00F83E08">
        <w:rPr>
          <w:rFonts w:cs="Arial"/>
          <w:sz w:val="21"/>
          <w:szCs w:val="21"/>
        </w:rPr>
        <w:t xml:space="preserve"> provide accompaniment support </w:t>
      </w:r>
      <w:r w:rsidR="00F83E08">
        <w:rPr>
          <w:rFonts w:cs="Arial"/>
          <w:sz w:val="21"/>
          <w:szCs w:val="21"/>
        </w:rPr>
        <w:t>to ensure effective delivery and a positive and engaging learning experience for participants</w:t>
      </w:r>
      <w:r w:rsidR="00F83E08" w:rsidRPr="00F83E08">
        <w:rPr>
          <w:rFonts w:cs="Arial"/>
          <w:sz w:val="21"/>
          <w:szCs w:val="21"/>
        </w:rPr>
        <w:t>.</w:t>
      </w:r>
      <w:r w:rsidR="00F83E08">
        <w:rPr>
          <w:rFonts w:cs="Arial"/>
          <w:sz w:val="21"/>
          <w:szCs w:val="21"/>
        </w:rPr>
        <w:t xml:space="preserve"> </w:t>
      </w:r>
      <w:r w:rsidR="005E49E0">
        <w:rPr>
          <w:rFonts w:cs="Arial"/>
          <w:sz w:val="21"/>
          <w:szCs w:val="21"/>
        </w:rPr>
        <w:t xml:space="preserve">Coordination between the consultant and the course curriculum development </w:t>
      </w:r>
      <w:r w:rsidR="00C763A4">
        <w:rPr>
          <w:rFonts w:cs="Arial"/>
          <w:sz w:val="21"/>
          <w:szCs w:val="21"/>
        </w:rPr>
        <w:t xml:space="preserve">and delivery </w:t>
      </w:r>
      <w:r w:rsidR="005E49E0">
        <w:rPr>
          <w:rFonts w:cs="Arial"/>
          <w:sz w:val="21"/>
          <w:szCs w:val="21"/>
        </w:rPr>
        <w:t>team will be facilitated by a project steering committee.</w:t>
      </w:r>
    </w:p>
    <w:p w14:paraId="2E83A55B" w14:textId="77777777" w:rsidR="00305498" w:rsidRDefault="00305498" w:rsidP="006D6F7E">
      <w:pPr>
        <w:jc w:val="both"/>
        <w:rPr>
          <w:rFonts w:cs="Arial"/>
          <w:sz w:val="21"/>
          <w:szCs w:val="21"/>
        </w:rPr>
      </w:pPr>
    </w:p>
    <w:p w14:paraId="09C37CB7" w14:textId="21653EF6" w:rsidR="00EE2F6B" w:rsidRPr="006D7588" w:rsidRDefault="00215645" w:rsidP="006D6F7E">
      <w:pPr>
        <w:jc w:val="both"/>
        <w:rPr>
          <w:rFonts w:cs="Arial"/>
          <w:sz w:val="21"/>
          <w:szCs w:val="21"/>
        </w:rPr>
      </w:pPr>
      <w:r w:rsidRPr="006D7588">
        <w:rPr>
          <w:rFonts w:cs="Arial"/>
          <w:sz w:val="21"/>
          <w:szCs w:val="21"/>
        </w:rPr>
        <w:t>Due to lack of reliable internet connectivity, this training cannot be delivered online</w:t>
      </w:r>
      <w:r w:rsidR="005267EA" w:rsidRPr="006D7588">
        <w:rPr>
          <w:rFonts w:cs="Arial"/>
          <w:sz w:val="21"/>
          <w:szCs w:val="21"/>
        </w:rPr>
        <w:t>.</w:t>
      </w:r>
      <w:r w:rsidR="005912BC">
        <w:rPr>
          <w:rFonts w:cs="Arial"/>
          <w:sz w:val="21"/>
          <w:szCs w:val="21"/>
        </w:rPr>
        <w:t xml:space="preserve"> </w:t>
      </w:r>
      <w:r w:rsidR="005267EA" w:rsidRPr="006D7588">
        <w:rPr>
          <w:rFonts w:cs="Arial"/>
          <w:sz w:val="21"/>
          <w:szCs w:val="21"/>
        </w:rPr>
        <w:t>This consultancy will provide</w:t>
      </w:r>
      <w:r w:rsidR="00B50049" w:rsidRPr="006D7588">
        <w:rPr>
          <w:rFonts w:cs="Arial"/>
          <w:sz w:val="21"/>
          <w:szCs w:val="21"/>
        </w:rPr>
        <w:t xml:space="preserve"> innovative design </w:t>
      </w:r>
      <w:r w:rsidR="00200075" w:rsidRPr="006D7588">
        <w:rPr>
          <w:rFonts w:cs="Arial"/>
          <w:sz w:val="21"/>
          <w:szCs w:val="21"/>
        </w:rPr>
        <w:t xml:space="preserve">solutions for remote </w:t>
      </w:r>
      <w:r w:rsidR="00B50049" w:rsidRPr="006D7588">
        <w:rPr>
          <w:rFonts w:cs="Arial"/>
          <w:sz w:val="21"/>
          <w:szCs w:val="21"/>
        </w:rPr>
        <w:t>training delivery</w:t>
      </w:r>
      <w:r w:rsidR="005912BC">
        <w:rPr>
          <w:rFonts w:cs="Arial"/>
          <w:sz w:val="21"/>
          <w:szCs w:val="21"/>
        </w:rPr>
        <w:t xml:space="preserve"> using a range of </w:t>
      </w:r>
      <w:r w:rsidR="00BE5CB0">
        <w:rPr>
          <w:rFonts w:cs="Arial"/>
          <w:sz w:val="21"/>
          <w:szCs w:val="21"/>
        </w:rPr>
        <w:t xml:space="preserve">engaging </w:t>
      </w:r>
      <w:r w:rsidR="005912BC">
        <w:rPr>
          <w:rFonts w:cs="Arial"/>
          <w:sz w:val="21"/>
          <w:szCs w:val="21"/>
        </w:rPr>
        <w:t>mediums and participatory learning methodologies</w:t>
      </w:r>
      <w:r w:rsidR="00200075" w:rsidRPr="006D7588">
        <w:rPr>
          <w:rFonts w:cs="Arial"/>
          <w:sz w:val="21"/>
          <w:szCs w:val="21"/>
        </w:rPr>
        <w:t>.</w:t>
      </w:r>
      <w:r w:rsidR="002F106E">
        <w:rPr>
          <w:rFonts w:cs="Arial"/>
          <w:sz w:val="21"/>
          <w:szCs w:val="21"/>
        </w:rPr>
        <w:t xml:space="preserve"> The delivery methodology needs to reflect an understanding of safeguarding principles and risks, and ensure that the delivery methodology creates a safe learning environment for all participants. </w:t>
      </w:r>
      <w:r w:rsidR="005912BC">
        <w:rPr>
          <w:rFonts w:cs="Arial"/>
          <w:sz w:val="21"/>
          <w:szCs w:val="21"/>
        </w:rPr>
        <w:t xml:space="preserve">Participants may have some access to videoconferencing facilities however this will be limited and reliance on this medium should be minimal. </w:t>
      </w:r>
    </w:p>
    <w:p w14:paraId="00E8A3A6" w14:textId="77777777" w:rsidR="005C7310" w:rsidRDefault="005C7310">
      <w:pPr>
        <w:rPr>
          <w:lang w:val="en-US"/>
        </w:rPr>
      </w:pPr>
    </w:p>
    <w:p w14:paraId="57BCC088" w14:textId="5F6284F2" w:rsidR="008C5D64" w:rsidRPr="000A6D61" w:rsidRDefault="00676EFB" w:rsidP="008C5D64">
      <w:pPr>
        <w:pStyle w:val="ListParagraph"/>
        <w:numPr>
          <w:ilvl w:val="0"/>
          <w:numId w:val="3"/>
        </w:numPr>
        <w:rPr>
          <w:b/>
          <w:bCs/>
          <w:lang w:val="en-US"/>
        </w:rPr>
      </w:pPr>
      <w:r w:rsidRPr="00676EFB">
        <w:rPr>
          <w:b/>
          <w:bCs/>
          <w:lang w:val="en-US"/>
        </w:rPr>
        <w:t>SPECIFIC TASKS AND DELIVERABLES</w:t>
      </w:r>
    </w:p>
    <w:tbl>
      <w:tblPr>
        <w:tblStyle w:val="TableGrid"/>
        <w:tblW w:w="0" w:type="auto"/>
        <w:tblLook w:val="04A0" w:firstRow="1" w:lastRow="0" w:firstColumn="1" w:lastColumn="0" w:noHBand="0" w:noVBand="1"/>
      </w:tblPr>
      <w:tblGrid>
        <w:gridCol w:w="1741"/>
        <w:gridCol w:w="2391"/>
        <w:gridCol w:w="3755"/>
        <w:gridCol w:w="1129"/>
      </w:tblGrid>
      <w:tr w:rsidR="00C763A4" w14:paraId="56E3A676" w14:textId="77777777" w:rsidTr="00454FEF">
        <w:tc>
          <w:tcPr>
            <w:tcW w:w="0" w:type="auto"/>
            <w:shd w:val="clear" w:color="auto" w:fill="D9D9D9" w:themeFill="background1" w:themeFillShade="D9"/>
          </w:tcPr>
          <w:p w14:paraId="47A7D59C" w14:textId="77777777" w:rsidR="00454FEF" w:rsidRDefault="00454FEF" w:rsidP="003D664A">
            <w:pPr>
              <w:rPr>
                <w:rFonts w:cs="Arial"/>
                <w:b/>
                <w:bCs/>
                <w:sz w:val="20"/>
                <w:szCs w:val="20"/>
              </w:rPr>
            </w:pPr>
            <w:r>
              <w:rPr>
                <w:rFonts w:cs="Arial"/>
                <w:b/>
                <w:bCs/>
                <w:sz w:val="20"/>
                <w:szCs w:val="20"/>
              </w:rPr>
              <w:t>Project/Activity</w:t>
            </w:r>
          </w:p>
          <w:p w14:paraId="752AEB43" w14:textId="0CBA906D" w:rsidR="00454FEF" w:rsidRPr="00EE2F6B" w:rsidRDefault="00454FEF" w:rsidP="003D664A">
            <w:pPr>
              <w:rPr>
                <w:rFonts w:cs="Arial"/>
                <w:b/>
                <w:bCs/>
                <w:sz w:val="20"/>
                <w:szCs w:val="20"/>
              </w:rPr>
            </w:pPr>
            <w:r w:rsidRPr="00454FEF">
              <w:rPr>
                <w:rFonts w:cs="Arial"/>
                <w:i/>
                <w:iCs/>
                <w:sz w:val="20"/>
                <w:szCs w:val="20"/>
              </w:rPr>
              <w:t>List of key activities to be carried</w:t>
            </w:r>
          </w:p>
        </w:tc>
        <w:tc>
          <w:tcPr>
            <w:tcW w:w="0" w:type="auto"/>
            <w:shd w:val="clear" w:color="auto" w:fill="D9D9D9" w:themeFill="background1" w:themeFillShade="D9"/>
          </w:tcPr>
          <w:p w14:paraId="56C5BC93" w14:textId="77777777" w:rsidR="00454FEF" w:rsidRPr="00454FEF" w:rsidRDefault="00454FEF" w:rsidP="00454FEF">
            <w:pPr>
              <w:jc w:val="both"/>
              <w:rPr>
                <w:rFonts w:cs="Arial"/>
                <w:b/>
                <w:bCs/>
                <w:sz w:val="20"/>
                <w:szCs w:val="20"/>
              </w:rPr>
            </w:pPr>
            <w:r w:rsidRPr="00454FEF">
              <w:rPr>
                <w:rFonts w:cs="Arial"/>
                <w:b/>
                <w:bCs/>
                <w:sz w:val="20"/>
                <w:szCs w:val="20"/>
              </w:rPr>
              <w:t>Deliverable</w:t>
            </w:r>
          </w:p>
          <w:p w14:paraId="440CE381" w14:textId="7AE046A4" w:rsidR="00454FEF" w:rsidRPr="00454FEF" w:rsidRDefault="00454FEF" w:rsidP="00454FEF">
            <w:pPr>
              <w:rPr>
                <w:rFonts w:cs="Arial"/>
                <w:i/>
                <w:iCs/>
                <w:sz w:val="20"/>
                <w:szCs w:val="20"/>
              </w:rPr>
            </w:pPr>
            <w:r w:rsidRPr="00454FEF">
              <w:rPr>
                <w:rFonts w:cs="Arial"/>
                <w:i/>
                <w:iCs/>
                <w:sz w:val="20"/>
                <w:szCs w:val="20"/>
              </w:rPr>
              <w:t>Specific deliverable/output related to each activity</w:t>
            </w:r>
          </w:p>
        </w:tc>
        <w:tc>
          <w:tcPr>
            <w:tcW w:w="0" w:type="auto"/>
            <w:shd w:val="clear" w:color="auto" w:fill="D9D9D9" w:themeFill="background1" w:themeFillShade="D9"/>
          </w:tcPr>
          <w:p w14:paraId="6F90CC4B" w14:textId="77777777" w:rsidR="00454FEF" w:rsidRPr="00454FEF" w:rsidRDefault="00454FEF" w:rsidP="003D664A">
            <w:pPr>
              <w:rPr>
                <w:rFonts w:cs="Arial"/>
                <w:b/>
                <w:bCs/>
                <w:sz w:val="20"/>
                <w:szCs w:val="20"/>
              </w:rPr>
            </w:pPr>
            <w:r w:rsidRPr="00454FEF">
              <w:rPr>
                <w:rFonts w:cs="Arial"/>
                <w:b/>
                <w:bCs/>
                <w:sz w:val="20"/>
                <w:szCs w:val="20"/>
              </w:rPr>
              <w:t>Indicative Consultant Activities</w:t>
            </w:r>
          </w:p>
          <w:p w14:paraId="0A905338" w14:textId="20FA48F7" w:rsidR="00454FEF" w:rsidRPr="00454FEF" w:rsidRDefault="00454FEF" w:rsidP="003D664A">
            <w:pPr>
              <w:rPr>
                <w:rFonts w:cs="Arial"/>
                <w:i/>
                <w:iCs/>
                <w:sz w:val="20"/>
                <w:szCs w:val="20"/>
              </w:rPr>
            </w:pPr>
            <w:r w:rsidRPr="00454FEF">
              <w:rPr>
                <w:rFonts w:cs="Arial"/>
                <w:i/>
                <w:iCs/>
                <w:sz w:val="20"/>
                <w:szCs w:val="20"/>
              </w:rPr>
              <w:t>Breakdown of tasks to conduct this activity and output</w:t>
            </w:r>
          </w:p>
        </w:tc>
        <w:tc>
          <w:tcPr>
            <w:tcW w:w="0" w:type="auto"/>
            <w:shd w:val="clear" w:color="auto" w:fill="D9D9D9" w:themeFill="background1" w:themeFillShade="D9"/>
          </w:tcPr>
          <w:p w14:paraId="3E2556FB" w14:textId="77777777" w:rsidR="00454FEF" w:rsidRDefault="00454FEF" w:rsidP="003D664A">
            <w:pPr>
              <w:rPr>
                <w:rFonts w:cs="Arial"/>
                <w:b/>
                <w:bCs/>
                <w:sz w:val="20"/>
                <w:szCs w:val="20"/>
              </w:rPr>
            </w:pPr>
            <w:r w:rsidRPr="00EE2F6B">
              <w:rPr>
                <w:rFonts w:cs="Arial"/>
                <w:b/>
                <w:bCs/>
                <w:sz w:val="20"/>
                <w:szCs w:val="20"/>
              </w:rPr>
              <w:t>Days</w:t>
            </w:r>
          </w:p>
          <w:p w14:paraId="5DD531C8" w14:textId="5C998B1A" w:rsidR="00454FEF" w:rsidRPr="00EE2F6B" w:rsidRDefault="00454FEF" w:rsidP="003D664A">
            <w:pPr>
              <w:rPr>
                <w:rFonts w:cs="Arial"/>
                <w:b/>
                <w:bCs/>
                <w:sz w:val="20"/>
                <w:szCs w:val="20"/>
              </w:rPr>
            </w:pPr>
            <w:r>
              <w:rPr>
                <w:rFonts w:cs="Arial"/>
                <w:i/>
                <w:iCs/>
                <w:sz w:val="20"/>
                <w:szCs w:val="20"/>
              </w:rPr>
              <w:t>E</w:t>
            </w:r>
            <w:r w:rsidRPr="00454FEF">
              <w:rPr>
                <w:rFonts w:cs="Arial"/>
                <w:i/>
                <w:iCs/>
                <w:sz w:val="20"/>
                <w:szCs w:val="20"/>
              </w:rPr>
              <w:t>stimated work days</w:t>
            </w:r>
          </w:p>
        </w:tc>
      </w:tr>
      <w:tr w:rsidR="00C763A4" w14:paraId="383A6DC4" w14:textId="77777777" w:rsidTr="00454FEF">
        <w:tc>
          <w:tcPr>
            <w:tcW w:w="0" w:type="auto"/>
          </w:tcPr>
          <w:p w14:paraId="72C4C3BB" w14:textId="310F00AF" w:rsidR="00667BB0" w:rsidRPr="000950E4" w:rsidRDefault="00667BB0" w:rsidP="000950E4">
            <w:pPr>
              <w:pStyle w:val="ListParagraph"/>
              <w:numPr>
                <w:ilvl w:val="0"/>
                <w:numId w:val="27"/>
              </w:numPr>
              <w:ind w:left="319" w:hanging="284"/>
              <w:rPr>
                <w:rFonts w:asciiTheme="minorHAnsi" w:eastAsiaTheme="minorHAnsi" w:hAnsiTheme="minorHAnsi" w:cs="Arial"/>
                <w:sz w:val="20"/>
                <w:szCs w:val="20"/>
                <w:lang w:val="en-AU"/>
              </w:rPr>
            </w:pPr>
            <w:r>
              <w:rPr>
                <w:rFonts w:asciiTheme="minorHAnsi" w:eastAsiaTheme="minorHAnsi" w:hAnsiTheme="minorHAnsi" w:cs="Arial"/>
                <w:sz w:val="20"/>
                <w:szCs w:val="20"/>
                <w:lang w:val="en-AU"/>
              </w:rPr>
              <w:t>Inception report</w:t>
            </w:r>
          </w:p>
        </w:tc>
        <w:tc>
          <w:tcPr>
            <w:tcW w:w="0" w:type="auto"/>
          </w:tcPr>
          <w:p w14:paraId="2774FDF5" w14:textId="73365D26" w:rsidR="00B50049" w:rsidRPr="00B50049" w:rsidRDefault="00B50049" w:rsidP="00B50049">
            <w:pPr>
              <w:rPr>
                <w:rFonts w:cs="Arial"/>
                <w:sz w:val="20"/>
                <w:szCs w:val="20"/>
              </w:rPr>
            </w:pPr>
            <w:r w:rsidRPr="00B50049">
              <w:rPr>
                <w:rFonts w:cs="Arial"/>
                <w:sz w:val="20"/>
                <w:szCs w:val="20"/>
              </w:rPr>
              <w:t>Inception report – outlining the</w:t>
            </w:r>
            <w:r w:rsidR="0052508C">
              <w:rPr>
                <w:rFonts w:cs="Arial"/>
                <w:sz w:val="20"/>
                <w:szCs w:val="20"/>
              </w:rPr>
              <w:t xml:space="preserve"> methodology used, tools</w:t>
            </w:r>
            <w:r w:rsidR="0051510A">
              <w:rPr>
                <w:rFonts w:cs="Arial"/>
                <w:sz w:val="20"/>
                <w:szCs w:val="20"/>
              </w:rPr>
              <w:t xml:space="preserve">, </w:t>
            </w:r>
            <w:r w:rsidRPr="00B50049">
              <w:rPr>
                <w:rFonts w:cs="Arial"/>
                <w:sz w:val="20"/>
                <w:szCs w:val="20"/>
              </w:rPr>
              <w:t xml:space="preserve">delivery approach and work plan </w:t>
            </w:r>
          </w:p>
          <w:p w14:paraId="0195C2FD" w14:textId="77777777" w:rsidR="00667BB0" w:rsidRDefault="00667BB0" w:rsidP="00454FEF">
            <w:pPr>
              <w:rPr>
                <w:rFonts w:cs="Arial"/>
                <w:sz w:val="20"/>
                <w:szCs w:val="20"/>
              </w:rPr>
            </w:pPr>
          </w:p>
        </w:tc>
        <w:tc>
          <w:tcPr>
            <w:tcW w:w="0" w:type="auto"/>
          </w:tcPr>
          <w:p w14:paraId="6B802E8C" w14:textId="34F9A6E1" w:rsidR="00B50049" w:rsidRPr="00B50049" w:rsidRDefault="00B50049" w:rsidP="00200075">
            <w:pPr>
              <w:pStyle w:val="ListParagraph"/>
              <w:numPr>
                <w:ilvl w:val="0"/>
                <w:numId w:val="24"/>
              </w:numPr>
              <w:spacing w:after="0"/>
              <w:ind w:left="436" w:hanging="283"/>
              <w:rPr>
                <w:rFonts w:asciiTheme="minorHAnsi" w:eastAsiaTheme="minorHAnsi" w:hAnsiTheme="minorHAnsi" w:cs="Arial"/>
                <w:sz w:val="20"/>
                <w:szCs w:val="20"/>
                <w:lang w:val="en-AU"/>
              </w:rPr>
            </w:pPr>
            <w:r w:rsidRPr="00B50049">
              <w:rPr>
                <w:rFonts w:asciiTheme="minorHAnsi" w:eastAsiaTheme="minorHAnsi" w:hAnsiTheme="minorHAnsi" w:cs="Arial"/>
                <w:sz w:val="20"/>
                <w:szCs w:val="20"/>
                <w:lang w:val="en-AU"/>
              </w:rPr>
              <w:t xml:space="preserve">Consult with </w:t>
            </w:r>
            <w:r w:rsidR="00C763A4">
              <w:rPr>
                <w:rFonts w:asciiTheme="minorHAnsi" w:eastAsiaTheme="minorHAnsi" w:hAnsiTheme="minorHAnsi" w:cs="Arial"/>
                <w:sz w:val="20"/>
                <w:szCs w:val="20"/>
                <w:lang w:val="en-AU"/>
              </w:rPr>
              <w:t xml:space="preserve">the </w:t>
            </w:r>
            <w:r w:rsidR="00472D7C">
              <w:rPr>
                <w:rFonts w:asciiTheme="minorHAnsi" w:eastAsiaTheme="minorHAnsi" w:hAnsiTheme="minorHAnsi" w:cs="Arial"/>
                <w:sz w:val="20"/>
                <w:szCs w:val="20"/>
                <w:lang w:val="en-AU"/>
              </w:rPr>
              <w:t xml:space="preserve">curriculum development </w:t>
            </w:r>
            <w:r w:rsidR="00C763A4">
              <w:rPr>
                <w:rFonts w:asciiTheme="minorHAnsi" w:eastAsiaTheme="minorHAnsi" w:hAnsiTheme="minorHAnsi" w:cs="Arial"/>
                <w:sz w:val="20"/>
                <w:szCs w:val="20"/>
                <w:lang w:val="en-AU"/>
              </w:rPr>
              <w:t xml:space="preserve">and delivery </w:t>
            </w:r>
            <w:r w:rsidR="00472D7C">
              <w:rPr>
                <w:rFonts w:asciiTheme="minorHAnsi" w:eastAsiaTheme="minorHAnsi" w:hAnsiTheme="minorHAnsi" w:cs="Arial"/>
                <w:sz w:val="20"/>
                <w:szCs w:val="20"/>
                <w:lang w:val="en-AU"/>
              </w:rPr>
              <w:t>team</w:t>
            </w:r>
            <w:r w:rsidR="00251A19">
              <w:rPr>
                <w:rFonts w:asciiTheme="minorHAnsi" w:eastAsiaTheme="minorHAnsi" w:hAnsiTheme="minorHAnsi" w:cs="Arial"/>
                <w:sz w:val="20"/>
                <w:szCs w:val="20"/>
                <w:lang w:val="en-AU"/>
              </w:rPr>
              <w:t xml:space="preserve"> on needs</w:t>
            </w:r>
          </w:p>
          <w:p w14:paraId="696626AB" w14:textId="33299AA4" w:rsidR="00667BB0" w:rsidRPr="000A6D61" w:rsidRDefault="00913852" w:rsidP="00913852">
            <w:pPr>
              <w:pStyle w:val="ListParagraph"/>
              <w:numPr>
                <w:ilvl w:val="0"/>
                <w:numId w:val="24"/>
              </w:numPr>
              <w:spacing w:after="0"/>
              <w:ind w:left="436" w:hanging="283"/>
              <w:rPr>
                <w:rFonts w:cs="Arial"/>
                <w:sz w:val="20"/>
                <w:szCs w:val="20"/>
              </w:rPr>
            </w:pPr>
            <w:r w:rsidRPr="00B50049">
              <w:rPr>
                <w:rFonts w:asciiTheme="minorHAnsi" w:eastAsiaTheme="minorHAnsi" w:hAnsiTheme="minorHAnsi" w:cs="Arial"/>
                <w:sz w:val="20"/>
                <w:szCs w:val="20"/>
                <w:lang w:val="en-AU"/>
              </w:rPr>
              <w:t>Write inception report</w:t>
            </w:r>
            <w:r w:rsidRPr="00B50049" w:rsidDel="00472D7C">
              <w:rPr>
                <w:rFonts w:asciiTheme="minorHAnsi" w:eastAsiaTheme="minorHAnsi" w:hAnsiTheme="minorHAnsi" w:cs="Arial"/>
                <w:sz w:val="20"/>
                <w:szCs w:val="20"/>
                <w:lang w:val="en-AU"/>
              </w:rPr>
              <w:t xml:space="preserve"> </w:t>
            </w:r>
            <w:r>
              <w:rPr>
                <w:rFonts w:asciiTheme="minorHAnsi" w:eastAsiaTheme="minorHAnsi" w:hAnsiTheme="minorHAnsi" w:cs="Arial"/>
                <w:sz w:val="20"/>
                <w:szCs w:val="20"/>
                <w:lang w:val="en-AU"/>
              </w:rPr>
              <w:t>o</w:t>
            </w:r>
            <w:r w:rsidR="00B50049" w:rsidRPr="00B50049">
              <w:rPr>
                <w:rFonts w:asciiTheme="minorHAnsi" w:eastAsiaTheme="minorHAnsi" w:hAnsiTheme="minorHAnsi" w:cs="Arial"/>
                <w:sz w:val="20"/>
                <w:szCs w:val="20"/>
                <w:lang w:val="en-AU"/>
              </w:rPr>
              <w:t>utlin</w:t>
            </w:r>
            <w:r>
              <w:rPr>
                <w:rFonts w:asciiTheme="minorHAnsi" w:eastAsiaTheme="minorHAnsi" w:hAnsiTheme="minorHAnsi" w:cs="Arial"/>
                <w:sz w:val="20"/>
                <w:szCs w:val="20"/>
                <w:lang w:val="en-AU"/>
              </w:rPr>
              <w:t>ing</w:t>
            </w:r>
            <w:r w:rsidR="00B50049" w:rsidRPr="00B50049">
              <w:rPr>
                <w:rFonts w:asciiTheme="minorHAnsi" w:eastAsiaTheme="minorHAnsi" w:hAnsiTheme="minorHAnsi" w:cs="Arial"/>
                <w:sz w:val="20"/>
                <w:szCs w:val="20"/>
                <w:lang w:val="en-AU"/>
              </w:rPr>
              <w:t xml:space="preserve"> </w:t>
            </w:r>
            <w:r w:rsidR="00FD25ED">
              <w:rPr>
                <w:rFonts w:asciiTheme="minorHAnsi" w:eastAsiaTheme="minorHAnsi" w:hAnsiTheme="minorHAnsi" w:cs="Arial"/>
                <w:sz w:val="20"/>
                <w:szCs w:val="20"/>
                <w:lang w:val="en-AU"/>
              </w:rPr>
              <w:t>the</w:t>
            </w:r>
            <w:r w:rsidR="00FD25ED" w:rsidRPr="00B50049">
              <w:rPr>
                <w:rFonts w:asciiTheme="minorHAnsi" w:eastAsiaTheme="minorHAnsi" w:hAnsiTheme="minorHAnsi" w:cs="Arial"/>
                <w:sz w:val="20"/>
                <w:szCs w:val="20"/>
                <w:lang w:val="en-AU"/>
              </w:rPr>
              <w:t xml:space="preserve"> </w:t>
            </w:r>
            <w:r w:rsidR="00B50049" w:rsidRPr="00B50049">
              <w:rPr>
                <w:rFonts w:asciiTheme="minorHAnsi" w:eastAsiaTheme="minorHAnsi" w:hAnsiTheme="minorHAnsi" w:cs="Arial"/>
                <w:sz w:val="20"/>
                <w:szCs w:val="20"/>
                <w:lang w:val="en-AU"/>
              </w:rPr>
              <w:t xml:space="preserve">delivery approach </w:t>
            </w:r>
          </w:p>
        </w:tc>
        <w:tc>
          <w:tcPr>
            <w:tcW w:w="0" w:type="auto"/>
          </w:tcPr>
          <w:p w14:paraId="0EE66842" w14:textId="7AB767A9" w:rsidR="00667BB0" w:rsidRPr="00DF38E5" w:rsidRDefault="006A3B0C" w:rsidP="003D664A">
            <w:pPr>
              <w:rPr>
                <w:rFonts w:cs="Arial"/>
                <w:sz w:val="20"/>
                <w:szCs w:val="20"/>
                <w:highlight w:val="yellow"/>
              </w:rPr>
            </w:pPr>
            <w:r w:rsidRPr="000A6D61">
              <w:rPr>
                <w:rFonts w:cs="Arial"/>
                <w:sz w:val="20"/>
                <w:szCs w:val="20"/>
              </w:rPr>
              <w:t>2 days</w:t>
            </w:r>
          </w:p>
        </w:tc>
      </w:tr>
      <w:tr w:rsidR="00C763A4" w14:paraId="3BADAEB1" w14:textId="77777777" w:rsidTr="00454FEF">
        <w:tc>
          <w:tcPr>
            <w:tcW w:w="0" w:type="auto"/>
          </w:tcPr>
          <w:p w14:paraId="6133E951" w14:textId="32690980" w:rsidR="00937408" w:rsidRPr="000950E4" w:rsidRDefault="00937408" w:rsidP="000950E4">
            <w:pPr>
              <w:pStyle w:val="ListParagraph"/>
              <w:numPr>
                <w:ilvl w:val="0"/>
                <w:numId w:val="27"/>
              </w:numPr>
              <w:ind w:left="319" w:hanging="284"/>
              <w:rPr>
                <w:rFonts w:asciiTheme="minorHAnsi" w:eastAsiaTheme="minorHAnsi" w:hAnsiTheme="minorHAnsi" w:cs="Arial"/>
                <w:sz w:val="20"/>
                <w:szCs w:val="20"/>
                <w:lang w:val="en-AU"/>
              </w:rPr>
            </w:pPr>
            <w:r>
              <w:rPr>
                <w:rFonts w:asciiTheme="minorHAnsi" w:eastAsiaTheme="minorHAnsi" w:hAnsiTheme="minorHAnsi" w:cs="Arial"/>
                <w:sz w:val="20"/>
                <w:szCs w:val="20"/>
                <w:lang w:val="en-AU"/>
              </w:rPr>
              <w:t>Training delivery design</w:t>
            </w:r>
          </w:p>
        </w:tc>
        <w:tc>
          <w:tcPr>
            <w:tcW w:w="0" w:type="auto"/>
          </w:tcPr>
          <w:p w14:paraId="1F8AB6DF" w14:textId="37C3EB32" w:rsidR="00937408" w:rsidRDefault="00937408" w:rsidP="00454FEF">
            <w:pPr>
              <w:rPr>
                <w:rFonts w:cs="Arial"/>
                <w:sz w:val="20"/>
                <w:szCs w:val="20"/>
              </w:rPr>
            </w:pPr>
            <w:r>
              <w:rPr>
                <w:rFonts w:cs="Arial"/>
                <w:sz w:val="20"/>
                <w:szCs w:val="20"/>
              </w:rPr>
              <w:t>Develop delivery methodology, platform and resources</w:t>
            </w:r>
          </w:p>
        </w:tc>
        <w:tc>
          <w:tcPr>
            <w:tcW w:w="0" w:type="auto"/>
          </w:tcPr>
          <w:p w14:paraId="66C43136" w14:textId="30178403" w:rsidR="00913852" w:rsidRDefault="00913852" w:rsidP="00454FEF">
            <w:pPr>
              <w:pStyle w:val="ListParagraph"/>
              <w:numPr>
                <w:ilvl w:val="0"/>
                <w:numId w:val="24"/>
              </w:numPr>
              <w:ind w:left="420" w:hanging="283"/>
              <w:rPr>
                <w:rFonts w:asciiTheme="minorHAnsi" w:eastAsiaTheme="minorHAnsi" w:hAnsiTheme="minorHAnsi" w:cs="Arial"/>
                <w:sz w:val="20"/>
                <w:szCs w:val="20"/>
                <w:lang w:val="en-AU"/>
              </w:rPr>
            </w:pPr>
            <w:r>
              <w:rPr>
                <w:rFonts w:asciiTheme="minorHAnsi" w:eastAsiaTheme="minorHAnsi" w:hAnsiTheme="minorHAnsi" w:cs="Arial"/>
                <w:sz w:val="20"/>
                <w:szCs w:val="20"/>
                <w:lang w:val="en-AU"/>
              </w:rPr>
              <w:t>I</w:t>
            </w:r>
            <w:r w:rsidR="00FD25ED">
              <w:rPr>
                <w:rFonts w:asciiTheme="minorHAnsi" w:eastAsiaTheme="minorHAnsi" w:hAnsiTheme="minorHAnsi" w:cs="Arial"/>
                <w:sz w:val="20"/>
                <w:szCs w:val="20"/>
                <w:lang w:val="en-AU"/>
              </w:rPr>
              <w:t xml:space="preserve">n close collaboration with the curriculum development </w:t>
            </w:r>
            <w:r w:rsidR="00C763A4">
              <w:rPr>
                <w:rFonts w:asciiTheme="minorHAnsi" w:eastAsiaTheme="minorHAnsi" w:hAnsiTheme="minorHAnsi" w:cs="Arial"/>
                <w:sz w:val="20"/>
                <w:szCs w:val="20"/>
                <w:lang w:val="en-AU"/>
              </w:rPr>
              <w:t xml:space="preserve">and delivery </w:t>
            </w:r>
            <w:r w:rsidR="00FD25ED">
              <w:rPr>
                <w:rFonts w:asciiTheme="minorHAnsi" w:eastAsiaTheme="minorHAnsi" w:hAnsiTheme="minorHAnsi" w:cs="Arial"/>
                <w:sz w:val="20"/>
                <w:szCs w:val="20"/>
                <w:lang w:val="en-AU"/>
              </w:rPr>
              <w:t>team</w:t>
            </w:r>
            <w:r>
              <w:rPr>
                <w:rFonts w:asciiTheme="minorHAnsi" w:eastAsiaTheme="minorHAnsi" w:hAnsiTheme="minorHAnsi" w:cs="Arial"/>
                <w:sz w:val="20"/>
                <w:szCs w:val="20"/>
                <w:lang w:val="en-AU"/>
              </w:rPr>
              <w:t>, design the remote delivery model and map out resources needed</w:t>
            </w:r>
          </w:p>
          <w:p w14:paraId="3146D10E" w14:textId="33CECB92" w:rsidR="00937408" w:rsidRDefault="00251A19" w:rsidP="00454FEF">
            <w:pPr>
              <w:pStyle w:val="ListParagraph"/>
              <w:numPr>
                <w:ilvl w:val="0"/>
                <w:numId w:val="24"/>
              </w:numPr>
              <w:ind w:left="420" w:hanging="283"/>
              <w:rPr>
                <w:rFonts w:asciiTheme="minorHAnsi" w:eastAsiaTheme="minorHAnsi" w:hAnsiTheme="minorHAnsi" w:cs="Arial"/>
                <w:sz w:val="20"/>
                <w:szCs w:val="20"/>
                <w:lang w:val="en-AU"/>
              </w:rPr>
            </w:pPr>
            <w:r>
              <w:rPr>
                <w:rFonts w:asciiTheme="minorHAnsi" w:eastAsiaTheme="minorHAnsi" w:hAnsiTheme="minorHAnsi" w:cs="Arial"/>
                <w:sz w:val="20"/>
                <w:szCs w:val="20"/>
                <w:lang w:val="en-AU"/>
              </w:rPr>
              <w:t xml:space="preserve">In close collaboration with the curriculum development </w:t>
            </w:r>
            <w:r w:rsidR="00C763A4">
              <w:rPr>
                <w:rFonts w:asciiTheme="minorHAnsi" w:eastAsiaTheme="minorHAnsi" w:hAnsiTheme="minorHAnsi" w:cs="Arial"/>
                <w:sz w:val="20"/>
                <w:szCs w:val="20"/>
                <w:lang w:val="en-AU"/>
              </w:rPr>
              <w:t xml:space="preserve">and delivery </w:t>
            </w:r>
            <w:r>
              <w:rPr>
                <w:rFonts w:asciiTheme="minorHAnsi" w:eastAsiaTheme="minorHAnsi" w:hAnsiTheme="minorHAnsi" w:cs="Arial"/>
                <w:sz w:val="20"/>
                <w:szCs w:val="20"/>
                <w:lang w:val="en-AU"/>
              </w:rPr>
              <w:t>team, identify and develop mediums for participatory learning, produce</w:t>
            </w:r>
            <w:r w:rsidR="00937408">
              <w:rPr>
                <w:rFonts w:asciiTheme="minorHAnsi" w:eastAsiaTheme="minorHAnsi" w:hAnsiTheme="minorHAnsi" w:cs="Arial"/>
                <w:sz w:val="20"/>
                <w:szCs w:val="20"/>
                <w:lang w:val="en-AU"/>
              </w:rPr>
              <w:t xml:space="preserve"> resources</w:t>
            </w:r>
            <w:r>
              <w:rPr>
                <w:rFonts w:asciiTheme="minorHAnsi" w:eastAsiaTheme="minorHAnsi" w:hAnsiTheme="minorHAnsi" w:cs="Arial"/>
                <w:sz w:val="20"/>
                <w:szCs w:val="20"/>
                <w:lang w:val="en-AU"/>
              </w:rPr>
              <w:t xml:space="preserve"> and deliverable learning inputs.</w:t>
            </w:r>
          </w:p>
          <w:p w14:paraId="279658D0" w14:textId="4A40A00D" w:rsidR="00CC0DA6" w:rsidRPr="00DF38E5" w:rsidRDefault="00CC0DA6" w:rsidP="00454FEF">
            <w:pPr>
              <w:pStyle w:val="ListParagraph"/>
              <w:numPr>
                <w:ilvl w:val="0"/>
                <w:numId w:val="24"/>
              </w:numPr>
              <w:ind w:left="420" w:hanging="283"/>
              <w:rPr>
                <w:rFonts w:asciiTheme="minorHAnsi" w:eastAsiaTheme="minorHAnsi" w:hAnsiTheme="minorHAnsi" w:cs="Arial"/>
                <w:sz w:val="20"/>
                <w:szCs w:val="20"/>
                <w:lang w:val="en-AU"/>
              </w:rPr>
            </w:pPr>
            <w:r>
              <w:rPr>
                <w:rFonts w:asciiTheme="minorHAnsi" w:eastAsiaTheme="minorHAnsi" w:hAnsiTheme="minorHAnsi" w:cs="Arial"/>
                <w:sz w:val="20"/>
                <w:szCs w:val="20"/>
                <w:lang w:val="en-AU"/>
              </w:rPr>
              <w:t xml:space="preserve">Work with </w:t>
            </w:r>
            <w:r w:rsidR="006A0B2D">
              <w:rPr>
                <w:rFonts w:asciiTheme="minorHAnsi" w:eastAsiaTheme="minorHAnsi" w:hAnsiTheme="minorHAnsi" w:cs="Arial"/>
                <w:sz w:val="20"/>
                <w:szCs w:val="20"/>
                <w:lang w:val="en-AU"/>
              </w:rPr>
              <w:t xml:space="preserve">the </w:t>
            </w:r>
            <w:r w:rsidR="00C763A4">
              <w:rPr>
                <w:rFonts w:asciiTheme="minorHAnsi" w:eastAsiaTheme="minorHAnsi" w:hAnsiTheme="minorHAnsi" w:cs="Arial"/>
                <w:sz w:val="20"/>
                <w:szCs w:val="20"/>
                <w:lang w:val="en-AU"/>
              </w:rPr>
              <w:t xml:space="preserve">curriculum development and delivery team </w:t>
            </w:r>
            <w:r>
              <w:rPr>
                <w:rFonts w:asciiTheme="minorHAnsi" w:eastAsiaTheme="minorHAnsi" w:hAnsiTheme="minorHAnsi" w:cs="Arial"/>
                <w:sz w:val="20"/>
                <w:szCs w:val="20"/>
                <w:lang w:val="en-AU"/>
              </w:rPr>
              <w:t>to ensure that delivery model design and resources are compatible</w:t>
            </w:r>
            <w:r w:rsidR="00251A19">
              <w:rPr>
                <w:rFonts w:asciiTheme="minorHAnsi" w:eastAsiaTheme="minorHAnsi" w:hAnsiTheme="minorHAnsi" w:cs="Arial"/>
                <w:sz w:val="20"/>
                <w:szCs w:val="20"/>
                <w:lang w:val="en-AU"/>
              </w:rPr>
              <w:t xml:space="preserve"> with the learning objectives outlined in the curriculum.</w:t>
            </w:r>
          </w:p>
        </w:tc>
        <w:tc>
          <w:tcPr>
            <w:tcW w:w="0" w:type="auto"/>
          </w:tcPr>
          <w:p w14:paraId="4DD9E832" w14:textId="4BB243FB" w:rsidR="00937408" w:rsidRPr="003D664A" w:rsidRDefault="00C763A4" w:rsidP="003D664A">
            <w:pPr>
              <w:rPr>
                <w:rFonts w:cs="Arial"/>
                <w:sz w:val="20"/>
                <w:szCs w:val="20"/>
              </w:rPr>
            </w:pPr>
            <w:r>
              <w:rPr>
                <w:rFonts w:cs="Arial"/>
                <w:sz w:val="20"/>
                <w:szCs w:val="20"/>
              </w:rPr>
              <w:t>10</w:t>
            </w:r>
            <w:r w:rsidR="006A3B0C">
              <w:rPr>
                <w:rFonts w:cs="Arial"/>
                <w:sz w:val="20"/>
                <w:szCs w:val="20"/>
              </w:rPr>
              <w:t xml:space="preserve"> days </w:t>
            </w:r>
          </w:p>
        </w:tc>
      </w:tr>
      <w:tr w:rsidR="00C763A4" w14:paraId="29872D81" w14:textId="77777777" w:rsidTr="00454FEF">
        <w:tc>
          <w:tcPr>
            <w:tcW w:w="0" w:type="auto"/>
          </w:tcPr>
          <w:p w14:paraId="1DBE230B" w14:textId="57772197" w:rsidR="00C763A4" w:rsidRDefault="00C763A4" w:rsidP="000950E4">
            <w:pPr>
              <w:pStyle w:val="ListParagraph"/>
              <w:numPr>
                <w:ilvl w:val="0"/>
                <w:numId w:val="27"/>
              </w:numPr>
              <w:ind w:left="319" w:hanging="284"/>
              <w:rPr>
                <w:rFonts w:asciiTheme="minorHAnsi" w:eastAsiaTheme="minorHAnsi" w:hAnsiTheme="minorHAnsi" w:cs="Arial"/>
                <w:sz w:val="20"/>
                <w:szCs w:val="20"/>
                <w:lang w:val="en-AU"/>
              </w:rPr>
            </w:pPr>
            <w:r>
              <w:rPr>
                <w:rFonts w:asciiTheme="minorHAnsi" w:eastAsiaTheme="minorHAnsi" w:hAnsiTheme="minorHAnsi" w:cs="Arial"/>
                <w:sz w:val="20"/>
                <w:szCs w:val="20"/>
                <w:lang w:val="en-AU"/>
              </w:rPr>
              <w:t>Training delivery</w:t>
            </w:r>
          </w:p>
        </w:tc>
        <w:tc>
          <w:tcPr>
            <w:tcW w:w="0" w:type="auto"/>
          </w:tcPr>
          <w:p w14:paraId="22531F16" w14:textId="530219ED" w:rsidR="00C763A4" w:rsidRDefault="00C763A4" w:rsidP="00454FEF">
            <w:pPr>
              <w:rPr>
                <w:rFonts w:cs="Arial"/>
                <w:sz w:val="20"/>
                <w:szCs w:val="20"/>
              </w:rPr>
            </w:pPr>
            <w:r>
              <w:rPr>
                <w:rFonts w:cs="Arial"/>
                <w:sz w:val="20"/>
                <w:szCs w:val="20"/>
              </w:rPr>
              <w:t>Support training delivery</w:t>
            </w:r>
          </w:p>
        </w:tc>
        <w:tc>
          <w:tcPr>
            <w:tcW w:w="0" w:type="auto"/>
          </w:tcPr>
          <w:p w14:paraId="69DC4A68" w14:textId="64EB2667" w:rsidR="00C763A4" w:rsidDel="00913852" w:rsidRDefault="008C5D64" w:rsidP="00454FEF">
            <w:pPr>
              <w:pStyle w:val="ListParagraph"/>
              <w:numPr>
                <w:ilvl w:val="0"/>
                <w:numId w:val="24"/>
              </w:numPr>
              <w:ind w:left="420" w:hanging="283"/>
              <w:rPr>
                <w:rFonts w:asciiTheme="minorHAnsi" w:eastAsiaTheme="minorHAnsi" w:hAnsiTheme="minorHAnsi" w:cs="Arial"/>
                <w:sz w:val="20"/>
                <w:szCs w:val="20"/>
                <w:lang w:val="en-AU"/>
              </w:rPr>
            </w:pPr>
            <w:r>
              <w:rPr>
                <w:rFonts w:asciiTheme="minorHAnsi" w:eastAsiaTheme="minorHAnsi" w:hAnsiTheme="minorHAnsi" w:cs="Arial"/>
                <w:sz w:val="20"/>
                <w:szCs w:val="20"/>
                <w:lang w:val="en-AU"/>
              </w:rPr>
              <w:t>Throughout the implementation of the training programme, p</w:t>
            </w:r>
            <w:r w:rsidR="00C763A4">
              <w:rPr>
                <w:rFonts w:asciiTheme="minorHAnsi" w:eastAsiaTheme="minorHAnsi" w:hAnsiTheme="minorHAnsi" w:cs="Arial"/>
                <w:sz w:val="20"/>
                <w:szCs w:val="20"/>
                <w:lang w:val="en-AU"/>
              </w:rPr>
              <w:t xml:space="preserve">rovide accompaniment support to the curriculum development and delivery team, supporting the adaption of approach and methodologies as needed.  </w:t>
            </w:r>
          </w:p>
        </w:tc>
        <w:tc>
          <w:tcPr>
            <w:tcW w:w="0" w:type="auto"/>
          </w:tcPr>
          <w:p w14:paraId="431F798F" w14:textId="12F3492F" w:rsidR="00C763A4" w:rsidDel="00C763A4" w:rsidRDefault="00C763A4" w:rsidP="003D664A">
            <w:pPr>
              <w:rPr>
                <w:rFonts w:cs="Arial"/>
                <w:sz w:val="20"/>
                <w:szCs w:val="20"/>
              </w:rPr>
            </w:pPr>
            <w:r>
              <w:rPr>
                <w:rFonts w:cs="Arial"/>
                <w:sz w:val="20"/>
                <w:szCs w:val="20"/>
              </w:rPr>
              <w:t>10 days</w:t>
            </w:r>
          </w:p>
        </w:tc>
      </w:tr>
      <w:tr w:rsidR="00C763A4" w14:paraId="3779398D" w14:textId="77777777" w:rsidTr="00454FEF">
        <w:tc>
          <w:tcPr>
            <w:tcW w:w="0" w:type="auto"/>
          </w:tcPr>
          <w:p w14:paraId="23F017FB" w14:textId="2A92D1A1" w:rsidR="00C763A4" w:rsidRDefault="00C763A4" w:rsidP="000950E4">
            <w:pPr>
              <w:pStyle w:val="ListParagraph"/>
              <w:numPr>
                <w:ilvl w:val="0"/>
                <w:numId w:val="27"/>
              </w:numPr>
              <w:ind w:left="319" w:hanging="284"/>
              <w:rPr>
                <w:rFonts w:asciiTheme="minorHAnsi" w:eastAsiaTheme="minorHAnsi" w:hAnsiTheme="minorHAnsi" w:cs="Arial"/>
                <w:sz w:val="20"/>
                <w:szCs w:val="20"/>
                <w:lang w:val="en-AU"/>
              </w:rPr>
            </w:pPr>
            <w:r>
              <w:rPr>
                <w:rFonts w:asciiTheme="minorHAnsi" w:eastAsiaTheme="minorHAnsi" w:hAnsiTheme="minorHAnsi" w:cs="Arial"/>
                <w:sz w:val="20"/>
                <w:szCs w:val="20"/>
                <w:lang w:val="en-AU"/>
              </w:rPr>
              <w:lastRenderedPageBreak/>
              <w:t>Monitoring, evaluation and learning</w:t>
            </w:r>
          </w:p>
        </w:tc>
        <w:tc>
          <w:tcPr>
            <w:tcW w:w="0" w:type="auto"/>
          </w:tcPr>
          <w:p w14:paraId="4CD4CD87" w14:textId="0D23C0F2" w:rsidR="00C763A4" w:rsidRDefault="00C763A4" w:rsidP="00454FEF">
            <w:pPr>
              <w:rPr>
                <w:rFonts w:cs="Arial"/>
                <w:sz w:val="20"/>
                <w:szCs w:val="20"/>
              </w:rPr>
            </w:pPr>
            <w:r>
              <w:rPr>
                <w:rFonts w:cs="Arial"/>
                <w:sz w:val="20"/>
                <w:szCs w:val="20"/>
              </w:rPr>
              <w:t xml:space="preserve">Contribute to </w:t>
            </w:r>
            <w:r w:rsidR="008C5D64">
              <w:rPr>
                <w:rFonts w:cs="Arial"/>
                <w:sz w:val="20"/>
                <w:szCs w:val="20"/>
              </w:rPr>
              <w:t xml:space="preserve">project evaluation and </w:t>
            </w:r>
            <w:r>
              <w:rPr>
                <w:rFonts w:cs="Arial"/>
                <w:sz w:val="20"/>
                <w:szCs w:val="20"/>
              </w:rPr>
              <w:t>learning</w:t>
            </w:r>
          </w:p>
        </w:tc>
        <w:tc>
          <w:tcPr>
            <w:tcW w:w="0" w:type="auto"/>
          </w:tcPr>
          <w:p w14:paraId="1ADD899D" w14:textId="2FADC8ED" w:rsidR="00C763A4" w:rsidDel="00913852" w:rsidRDefault="008C5D64" w:rsidP="00454FEF">
            <w:pPr>
              <w:pStyle w:val="ListParagraph"/>
              <w:numPr>
                <w:ilvl w:val="0"/>
                <w:numId w:val="24"/>
              </w:numPr>
              <w:ind w:left="420" w:hanging="283"/>
              <w:rPr>
                <w:rFonts w:asciiTheme="minorHAnsi" w:eastAsiaTheme="minorHAnsi" w:hAnsiTheme="minorHAnsi" w:cs="Arial"/>
                <w:sz w:val="20"/>
                <w:szCs w:val="20"/>
                <w:lang w:val="en-AU"/>
              </w:rPr>
            </w:pPr>
            <w:r>
              <w:rPr>
                <w:rFonts w:asciiTheme="minorHAnsi" w:eastAsiaTheme="minorHAnsi" w:hAnsiTheme="minorHAnsi" w:cs="Arial"/>
                <w:sz w:val="20"/>
                <w:szCs w:val="20"/>
                <w:lang w:val="en-AU"/>
              </w:rPr>
              <w:t>Participate and contribute to debrief and feedback sessions with the curriculum development and delivery team to draw out learnings from the process and inform future programming.</w:t>
            </w:r>
          </w:p>
        </w:tc>
        <w:tc>
          <w:tcPr>
            <w:tcW w:w="0" w:type="auto"/>
          </w:tcPr>
          <w:p w14:paraId="3FF51025" w14:textId="008142B6" w:rsidR="00C763A4" w:rsidDel="00C763A4" w:rsidRDefault="00C763A4" w:rsidP="003D664A">
            <w:pPr>
              <w:rPr>
                <w:rFonts w:cs="Arial"/>
                <w:sz w:val="20"/>
                <w:szCs w:val="20"/>
              </w:rPr>
            </w:pPr>
            <w:r>
              <w:rPr>
                <w:rFonts w:cs="Arial"/>
                <w:sz w:val="20"/>
                <w:szCs w:val="20"/>
              </w:rPr>
              <w:t>1 day</w:t>
            </w:r>
          </w:p>
        </w:tc>
      </w:tr>
    </w:tbl>
    <w:p w14:paraId="420484A1" w14:textId="12501CA7" w:rsidR="00C25332" w:rsidRDefault="00C25332" w:rsidP="00C25332">
      <w:pPr>
        <w:rPr>
          <w:lang w:val="en-US"/>
        </w:rPr>
      </w:pPr>
    </w:p>
    <w:p w14:paraId="77B9C8C1" w14:textId="62CC1F9B" w:rsidR="008C5D64" w:rsidRPr="000A6D61" w:rsidRDefault="008C5D64" w:rsidP="000A6D61">
      <w:pPr>
        <w:pStyle w:val="ListParagraph"/>
        <w:numPr>
          <w:ilvl w:val="0"/>
          <w:numId w:val="3"/>
        </w:numPr>
        <w:rPr>
          <w:rFonts w:eastAsia="MS Mincho" w:cs="Arial"/>
          <w:b/>
          <w:color w:val="F79646"/>
          <w:lang w:val="en-US"/>
        </w:rPr>
      </w:pPr>
      <w:r w:rsidRPr="008C5D64">
        <w:rPr>
          <w:rFonts w:eastAsia="MS Mincho" w:cs="Arial"/>
          <w:b/>
          <w:color w:val="F79646"/>
          <w:lang w:val="en-US"/>
        </w:rPr>
        <w:t>SUMMARY OF PROPOSED WORKING IN DAYS</w:t>
      </w:r>
    </w:p>
    <w:tbl>
      <w:tblPr>
        <w:tblW w:w="922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792"/>
        <w:gridCol w:w="1437"/>
      </w:tblGrid>
      <w:tr w:rsidR="008C5D64" w:rsidRPr="009F4407" w14:paraId="6CFACF83" w14:textId="77777777" w:rsidTr="009C2BB9">
        <w:trPr>
          <w:trHeight w:val="300"/>
          <w:jc w:val="center"/>
        </w:trPr>
        <w:tc>
          <w:tcPr>
            <w:tcW w:w="7792" w:type="dxa"/>
            <w:shd w:val="clear" w:color="auto" w:fill="BFBFBF" w:themeFill="background1" w:themeFillShade="BF"/>
            <w:vAlign w:val="bottom"/>
          </w:tcPr>
          <w:p w14:paraId="2D579C56" w14:textId="77777777" w:rsidR="008C5D64" w:rsidRPr="000A6D61" w:rsidRDefault="008C5D64" w:rsidP="009C2BB9">
            <w:pPr>
              <w:rPr>
                <w:rFonts w:eastAsia="Times New Roman" w:cstheme="minorHAnsi"/>
                <w:b/>
                <w:bCs/>
                <w:color w:val="000000"/>
                <w:sz w:val="21"/>
                <w:szCs w:val="21"/>
              </w:rPr>
            </w:pPr>
            <w:r w:rsidRPr="000A6D61">
              <w:rPr>
                <w:rFonts w:eastAsia="Times New Roman" w:cstheme="minorHAnsi"/>
                <w:b/>
                <w:bCs/>
                <w:color w:val="000000"/>
                <w:sz w:val="21"/>
                <w:szCs w:val="21"/>
              </w:rPr>
              <w:t>Sub-project/ key activities</w:t>
            </w:r>
          </w:p>
        </w:tc>
        <w:tc>
          <w:tcPr>
            <w:tcW w:w="1437" w:type="dxa"/>
            <w:shd w:val="clear" w:color="auto" w:fill="BFBFBF" w:themeFill="background1" w:themeFillShade="BF"/>
          </w:tcPr>
          <w:p w14:paraId="15154B6A" w14:textId="77777777" w:rsidR="008C5D64" w:rsidRPr="000A6D61" w:rsidRDefault="008C5D64" w:rsidP="009C2BB9">
            <w:pPr>
              <w:rPr>
                <w:rFonts w:eastAsia="Times New Roman" w:cstheme="minorHAnsi"/>
                <w:b/>
                <w:color w:val="000000"/>
                <w:sz w:val="21"/>
                <w:szCs w:val="21"/>
              </w:rPr>
            </w:pPr>
            <w:r w:rsidRPr="000A6D61">
              <w:rPr>
                <w:rFonts w:eastAsia="Times New Roman" w:cstheme="minorHAnsi"/>
                <w:b/>
                <w:color w:val="000000"/>
                <w:sz w:val="21"/>
                <w:szCs w:val="21"/>
              </w:rPr>
              <w:t>Total Days</w:t>
            </w:r>
          </w:p>
        </w:tc>
      </w:tr>
      <w:tr w:rsidR="008C5D64" w:rsidRPr="009F4407" w14:paraId="586C45AA" w14:textId="77777777" w:rsidTr="009C2BB9">
        <w:trPr>
          <w:trHeight w:val="300"/>
          <w:jc w:val="center"/>
        </w:trPr>
        <w:tc>
          <w:tcPr>
            <w:tcW w:w="7792" w:type="dxa"/>
            <w:shd w:val="clear" w:color="auto" w:fill="auto"/>
          </w:tcPr>
          <w:p w14:paraId="6CF7C2A8" w14:textId="4A5ACC5D" w:rsidR="008C5D64" w:rsidRPr="000A6D61" w:rsidRDefault="008C5D64" w:rsidP="009C2BB9">
            <w:pPr>
              <w:rPr>
                <w:rFonts w:eastAsia="Times New Roman" w:cstheme="minorHAnsi"/>
                <w:color w:val="000000"/>
                <w:sz w:val="21"/>
                <w:szCs w:val="21"/>
              </w:rPr>
            </w:pPr>
            <w:r w:rsidRPr="000A6D61">
              <w:rPr>
                <w:rFonts w:eastAsia="Times New Roman" w:cstheme="minorHAnsi"/>
                <w:color w:val="000000"/>
                <w:sz w:val="21"/>
                <w:szCs w:val="21"/>
              </w:rPr>
              <w:t>1. Training delivery design and inception report</w:t>
            </w:r>
          </w:p>
        </w:tc>
        <w:tc>
          <w:tcPr>
            <w:tcW w:w="1437" w:type="dxa"/>
          </w:tcPr>
          <w:p w14:paraId="77F3A0C9" w14:textId="3969A293" w:rsidR="008C5D64" w:rsidRPr="000A6D61" w:rsidRDefault="008C5D64" w:rsidP="009C2BB9">
            <w:pPr>
              <w:rPr>
                <w:rFonts w:eastAsia="Times New Roman" w:cstheme="minorHAnsi"/>
                <w:color w:val="000000"/>
                <w:sz w:val="21"/>
                <w:szCs w:val="21"/>
              </w:rPr>
            </w:pPr>
            <w:r w:rsidRPr="000A6D61">
              <w:rPr>
                <w:rFonts w:eastAsia="Times New Roman" w:cstheme="minorHAnsi"/>
                <w:color w:val="000000"/>
                <w:sz w:val="21"/>
                <w:szCs w:val="21"/>
              </w:rPr>
              <w:t>12</w:t>
            </w:r>
          </w:p>
        </w:tc>
      </w:tr>
      <w:tr w:rsidR="008C5D64" w:rsidRPr="009F4407" w14:paraId="73935B0A" w14:textId="77777777" w:rsidTr="009C2BB9">
        <w:trPr>
          <w:trHeight w:val="300"/>
          <w:jc w:val="center"/>
        </w:trPr>
        <w:tc>
          <w:tcPr>
            <w:tcW w:w="7792" w:type="dxa"/>
            <w:shd w:val="clear" w:color="auto" w:fill="auto"/>
          </w:tcPr>
          <w:p w14:paraId="4CB97455" w14:textId="0FEA6655" w:rsidR="008C5D64" w:rsidRPr="000A6D61" w:rsidRDefault="008C5D64" w:rsidP="009C2BB9">
            <w:pPr>
              <w:rPr>
                <w:rFonts w:eastAsia="Times New Roman" w:cstheme="minorHAnsi"/>
                <w:bCs/>
                <w:color w:val="000000"/>
                <w:sz w:val="21"/>
                <w:szCs w:val="21"/>
              </w:rPr>
            </w:pPr>
            <w:r w:rsidRPr="000A6D61">
              <w:rPr>
                <w:rFonts w:cstheme="minorHAnsi"/>
                <w:sz w:val="21"/>
                <w:szCs w:val="21"/>
              </w:rPr>
              <w:t>2. Training delivery</w:t>
            </w:r>
          </w:p>
        </w:tc>
        <w:tc>
          <w:tcPr>
            <w:tcW w:w="1437" w:type="dxa"/>
          </w:tcPr>
          <w:p w14:paraId="01B0B819" w14:textId="4A3AA4EB" w:rsidR="008C5D64" w:rsidRPr="000A6D61" w:rsidRDefault="008C5D64" w:rsidP="009C2BB9">
            <w:pPr>
              <w:rPr>
                <w:rFonts w:eastAsia="Times New Roman" w:cstheme="minorHAnsi"/>
                <w:color w:val="000000"/>
                <w:sz w:val="21"/>
                <w:szCs w:val="21"/>
              </w:rPr>
            </w:pPr>
            <w:r w:rsidRPr="000A6D61">
              <w:rPr>
                <w:rFonts w:eastAsia="Times New Roman" w:cstheme="minorHAnsi"/>
                <w:color w:val="000000"/>
                <w:sz w:val="21"/>
                <w:szCs w:val="21"/>
              </w:rPr>
              <w:t>10</w:t>
            </w:r>
          </w:p>
        </w:tc>
      </w:tr>
      <w:tr w:rsidR="008C5D64" w:rsidRPr="009F4407" w14:paraId="2B34AD3F" w14:textId="77777777" w:rsidTr="009C2BB9">
        <w:trPr>
          <w:trHeight w:val="300"/>
          <w:jc w:val="center"/>
        </w:trPr>
        <w:tc>
          <w:tcPr>
            <w:tcW w:w="7792" w:type="dxa"/>
            <w:shd w:val="clear" w:color="auto" w:fill="auto"/>
          </w:tcPr>
          <w:p w14:paraId="7718852B" w14:textId="0828AA4E" w:rsidR="008C5D64" w:rsidRPr="000A6D61" w:rsidRDefault="008C5D64" w:rsidP="009C2BB9">
            <w:pPr>
              <w:rPr>
                <w:rFonts w:eastAsia="Times New Roman" w:cstheme="minorHAnsi"/>
                <w:bCs/>
                <w:color w:val="000000"/>
                <w:sz w:val="21"/>
                <w:szCs w:val="21"/>
              </w:rPr>
            </w:pPr>
            <w:r w:rsidRPr="000A6D61">
              <w:rPr>
                <w:rFonts w:cstheme="minorHAnsi"/>
                <w:sz w:val="21"/>
                <w:szCs w:val="21"/>
              </w:rPr>
              <w:t xml:space="preserve">3. Monitoring, evaluation and learning  </w:t>
            </w:r>
          </w:p>
        </w:tc>
        <w:tc>
          <w:tcPr>
            <w:tcW w:w="1437" w:type="dxa"/>
          </w:tcPr>
          <w:p w14:paraId="02B9C12E" w14:textId="199728CF" w:rsidR="008C5D64" w:rsidRPr="000A6D61" w:rsidRDefault="008C5D64" w:rsidP="009C2BB9">
            <w:pPr>
              <w:rPr>
                <w:rFonts w:eastAsia="Times New Roman" w:cstheme="minorHAnsi"/>
                <w:color w:val="000000"/>
                <w:sz w:val="21"/>
                <w:szCs w:val="21"/>
              </w:rPr>
            </w:pPr>
            <w:r w:rsidRPr="000A6D61">
              <w:rPr>
                <w:rFonts w:eastAsia="Times New Roman" w:cstheme="minorHAnsi"/>
                <w:color w:val="000000"/>
                <w:sz w:val="21"/>
                <w:szCs w:val="21"/>
              </w:rPr>
              <w:t>1</w:t>
            </w:r>
          </w:p>
        </w:tc>
      </w:tr>
      <w:tr w:rsidR="008C5D64" w:rsidRPr="009F4407" w14:paraId="182B8858" w14:textId="77777777" w:rsidTr="009C2BB9">
        <w:trPr>
          <w:trHeight w:val="300"/>
          <w:jc w:val="center"/>
        </w:trPr>
        <w:tc>
          <w:tcPr>
            <w:tcW w:w="7792" w:type="dxa"/>
            <w:shd w:val="clear" w:color="auto" w:fill="auto"/>
          </w:tcPr>
          <w:p w14:paraId="1EE711D3" w14:textId="77777777" w:rsidR="008C5D64" w:rsidRPr="000A6D61" w:rsidRDefault="008C5D64" w:rsidP="009C2BB9">
            <w:pPr>
              <w:rPr>
                <w:rFonts w:eastAsia="Times New Roman" w:cstheme="minorHAnsi"/>
                <w:b/>
                <w:bCs/>
                <w:color w:val="000000"/>
                <w:sz w:val="21"/>
                <w:szCs w:val="21"/>
              </w:rPr>
            </w:pPr>
            <w:r w:rsidRPr="000A6D61">
              <w:rPr>
                <w:rFonts w:eastAsia="Times New Roman" w:cstheme="minorHAnsi"/>
                <w:b/>
                <w:bCs/>
                <w:color w:val="000000"/>
                <w:sz w:val="21"/>
                <w:szCs w:val="21"/>
              </w:rPr>
              <w:t xml:space="preserve">TOTAL DAYS </w:t>
            </w:r>
          </w:p>
        </w:tc>
        <w:tc>
          <w:tcPr>
            <w:tcW w:w="1437" w:type="dxa"/>
          </w:tcPr>
          <w:p w14:paraId="21A37E28" w14:textId="70B6D527" w:rsidR="008C5D64" w:rsidRPr="000A6D61" w:rsidRDefault="008C5D64" w:rsidP="009C2BB9">
            <w:pPr>
              <w:rPr>
                <w:rFonts w:eastAsia="Times New Roman" w:cstheme="minorHAnsi"/>
                <w:b/>
                <w:color w:val="000000"/>
                <w:sz w:val="21"/>
                <w:szCs w:val="21"/>
              </w:rPr>
            </w:pPr>
            <w:r w:rsidRPr="000A6D61">
              <w:rPr>
                <w:rFonts w:eastAsia="Times New Roman" w:cstheme="minorHAnsi"/>
                <w:b/>
                <w:color w:val="000000"/>
                <w:sz w:val="21"/>
                <w:szCs w:val="21"/>
              </w:rPr>
              <w:t>23</w:t>
            </w:r>
          </w:p>
        </w:tc>
      </w:tr>
    </w:tbl>
    <w:p w14:paraId="392E6B18" w14:textId="77777777" w:rsidR="00D30493" w:rsidRPr="00C25332" w:rsidRDefault="00D30493" w:rsidP="00C25332">
      <w:pPr>
        <w:rPr>
          <w:lang w:val="en-US"/>
        </w:rPr>
      </w:pPr>
    </w:p>
    <w:p w14:paraId="7D4D204E" w14:textId="77777777" w:rsidR="008D1EC6" w:rsidRPr="00865E58" w:rsidRDefault="008D1EC6" w:rsidP="008D1EC6">
      <w:pPr>
        <w:rPr>
          <w:b/>
          <w:sz w:val="21"/>
          <w:szCs w:val="21"/>
        </w:rPr>
      </w:pPr>
      <w:r w:rsidRPr="00865E58">
        <w:rPr>
          <w:b/>
          <w:sz w:val="21"/>
          <w:szCs w:val="21"/>
        </w:rPr>
        <w:t>Invoicing</w:t>
      </w:r>
    </w:p>
    <w:p w14:paraId="12DD3C3C" w14:textId="77777777" w:rsidR="008D1EC6" w:rsidRPr="00CF289B" w:rsidRDefault="008D1EC6" w:rsidP="008D1EC6">
      <w:pPr>
        <w:rPr>
          <w:sz w:val="21"/>
          <w:szCs w:val="21"/>
        </w:rPr>
      </w:pPr>
      <w:r w:rsidRPr="00CF289B">
        <w:rPr>
          <w:sz w:val="21"/>
          <w:szCs w:val="21"/>
        </w:rPr>
        <w:t>In addition to the requirements outlined in the consultancy agreement (section 8), please ensure</w:t>
      </w:r>
      <w:r>
        <w:rPr>
          <w:sz w:val="21"/>
          <w:szCs w:val="21"/>
        </w:rPr>
        <w:t xml:space="preserve"> y</w:t>
      </w:r>
      <w:r w:rsidRPr="00CF289B">
        <w:rPr>
          <w:sz w:val="21"/>
          <w:szCs w:val="21"/>
        </w:rPr>
        <w:t>our invoice is addressed to Conciliation Resources, 106 Burghley Road, London NW5 1AL, UK; and includes your International transfer bank details.</w:t>
      </w:r>
    </w:p>
    <w:p w14:paraId="4C5C92DA" w14:textId="77777777" w:rsidR="008D1EC6" w:rsidRDefault="008D1EC6" w:rsidP="008D1EC6">
      <w:pPr>
        <w:rPr>
          <w:sz w:val="21"/>
          <w:szCs w:val="21"/>
        </w:rPr>
      </w:pPr>
    </w:p>
    <w:p w14:paraId="167A92DC" w14:textId="77777777" w:rsidR="008D1EC6" w:rsidRPr="00DB242F" w:rsidRDefault="008D1EC6" w:rsidP="008D1EC6">
      <w:pPr>
        <w:rPr>
          <w:b/>
          <w:sz w:val="21"/>
          <w:szCs w:val="21"/>
          <w:lang w:val="en-US"/>
        </w:rPr>
      </w:pPr>
      <w:r w:rsidRPr="00DB242F">
        <w:rPr>
          <w:b/>
          <w:sz w:val="21"/>
          <w:szCs w:val="21"/>
          <w:lang w:val="en-US"/>
        </w:rPr>
        <w:t>Reporting</w:t>
      </w:r>
    </w:p>
    <w:p w14:paraId="00F9B88E" w14:textId="47624C6D" w:rsidR="00A2509B" w:rsidRDefault="008D1EC6" w:rsidP="000A6D61">
      <w:pPr>
        <w:spacing w:after="120"/>
        <w:rPr>
          <w:lang w:val="en-US"/>
        </w:rPr>
      </w:pPr>
      <w:r w:rsidRPr="00DB242F">
        <w:rPr>
          <w:sz w:val="21"/>
          <w:szCs w:val="21"/>
          <w:lang w:val="en-US"/>
        </w:rPr>
        <w:t>The consultant will report to Conciliation Resources</w:t>
      </w:r>
      <w:r>
        <w:rPr>
          <w:sz w:val="21"/>
          <w:szCs w:val="21"/>
          <w:lang w:val="en-US"/>
        </w:rPr>
        <w:t>’</w:t>
      </w:r>
      <w:r w:rsidRPr="00DB242F">
        <w:rPr>
          <w:sz w:val="21"/>
          <w:szCs w:val="21"/>
          <w:lang w:val="en-US"/>
        </w:rPr>
        <w:t xml:space="preserve"> </w:t>
      </w:r>
      <w:r>
        <w:rPr>
          <w:sz w:val="21"/>
          <w:szCs w:val="21"/>
          <w:lang w:val="en-US"/>
        </w:rPr>
        <w:t>Papua New Guinea</w:t>
      </w:r>
      <w:r w:rsidRPr="00DB242F">
        <w:rPr>
          <w:sz w:val="21"/>
          <w:szCs w:val="21"/>
          <w:lang w:val="en-US"/>
        </w:rPr>
        <w:t xml:space="preserve"> Project Manager.</w:t>
      </w:r>
    </w:p>
    <w:p w14:paraId="437C5293" w14:textId="77777777" w:rsidR="00DF38E5" w:rsidRPr="00DF38E5" w:rsidRDefault="00DF38E5" w:rsidP="000A6D61">
      <w:pPr>
        <w:spacing w:after="120"/>
        <w:jc w:val="both"/>
        <w:rPr>
          <w:sz w:val="21"/>
          <w:szCs w:val="21"/>
          <w:lang w:val="en-US"/>
        </w:rPr>
      </w:pPr>
      <w:r w:rsidRPr="00DF38E5">
        <w:rPr>
          <w:sz w:val="21"/>
          <w:szCs w:val="21"/>
          <w:lang w:val="en-US"/>
        </w:rPr>
        <w:t>In the course of their work, the consultant must consider their own safety and the safety of others, ensuring they abide by the Safeguarding Policy and the Safety and Security Policy. In particular the consultant should consider how to ensure they do no harm during the course of the consultancy. If the consultant hears or sees anything that does not look right, they should raise a protection or safeguarding concern by emailing safeguarding@c-r.org.</w:t>
      </w:r>
    </w:p>
    <w:p w14:paraId="13789F55" w14:textId="77777777" w:rsidR="00DF38E5" w:rsidRPr="00DF38E5" w:rsidRDefault="00DF38E5" w:rsidP="000A6D61">
      <w:pPr>
        <w:jc w:val="both"/>
        <w:rPr>
          <w:sz w:val="21"/>
          <w:szCs w:val="21"/>
          <w:lang w:val="en-US"/>
        </w:rPr>
      </w:pPr>
    </w:p>
    <w:p w14:paraId="304DC66A" w14:textId="1CBA0D34" w:rsidR="00A2509B" w:rsidRDefault="00DF38E5" w:rsidP="000A6D61">
      <w:pPr>
        <w:jc w:val="both"/>
        <w:rPr>
          <w:lang w:val="en-US"/>
        </w:rPr>
      </w:pPr>
      <w:r w:rsidRPr="00DF38E5">
        <w:rPr>
          <w:sz w:val="21"/>
          <w:szCs w:val="21"/>
          <w:lang w:val="en-US"/>
        </w:rPr>
        <w:t>The consultant must demonstrate a commitment to gender equality, diversity and inclusion, including a respect for diverse cultures and ways of working and adhere to CR's equality, diversity and inclusion policy.</w:t>
      </w:r>
    </w:p>
    <w:p w14:paraId="37EF419A" w14:textId="77777777" w:rsidR="00C25332" w:rsidRDefault="00C25332" w:rsidP="00C25332">
      <w:pPr>
        <w:rPr>
          <w:b/>
          <w:sz w:val="21"/>
          <w:szCs w:val="21"/>
        </w:rPr>
      </w:pPr>
    </w:p>
    <w:p w14:paraId="70B48EE7" w14:textId="2A16B0AA" w:rsidR="00C25332" w:rsidRPr="00676EFB" w:rsidRDefault="00C25332" w:rsidP="000A6D61">
      <w:pPr>
        <w:pStyle w:val="ListParagraph"/>
        <w:numPr>
          <w:ilvl w:val="0"/>
          <w:numId w:val="3"/>
        </w:numPr>
        <w:rPr>
          <w:b/>
        </w:rPr>
      </w:pPr>
      <w:r w:rsidRPr="00676EFB">
        <w:rPr>
          <w:b/>
        </w:rPr>
        <w:t xml:space="preserve"> </w:t>
      </w:r>
      <w:r w:rsidR="00676EFB" w:rsidRPr="00676EFB">
        <w:rPr>
          <w:b/>
        </w:rPr>
        <w:t>CONSULTANT SPECIFICATIONS</w:t>
      </w:r>
      <w:r w:rsidR="008D1EC6" w:rsidRPr="00676EFB">
        <w:rPr>
          <w:b/>
        </w:rPr>
        <w:t xml:space="preserve"> </w:t>
      </w:r>
    </w:p>
    <w:p w14:paraId="0A955DA0" w14:textId="0B10C8BF" w:rsidR="008D1EC6" w:rsidRPr="006D7588" w:rsidRDefault="008D1EC6" w:rsidP="006D7588">
      <w:pPr>
        <w:pStyle w:val="ListParagraph"/>
        <w:numPr>
          <w:ilvl w:val="1"/>
          <w:numId w:val="22"/>
        </w:numPr>
        <w:ind w:left="709" w:hanging="283"/>
        <w:rPr>
          <w:rFonts w:asciiTheme="minorHAnsi" w:eastAsiaTheme="minorHAnsi" w:hAnsiTheme="minorHAnsi" w:cstheme="minorBidi"/>
          <w:sz w:val="21"/>
          <w:szCs w:val="21"/>
          <w:lang w:val="en-US"/>
        </w:rPr>
      </w:pPr>
      <w:r w:rsidRPr="006D7588">
        <w:rPr>
          <w:rFonts w:asciiTheme="minorHAnsi" w:eastAsiaTheme="minorHAnsi" w:hAnsiTheme="minorHAnsi" w:cstheme="minorBidi"/>
          <w:sz w:val="21"/>
          <w:szCs w:val="21"/>
          <w:lang w:val="en-US"/>
        </w:rPr>
        <w:t>Experience in designing peacebuilding resources, preferably in the Pacific region.</w:t>
      </w:r>
    </w:p>
    <w:p w14:paraId="1DF1F4B9" w14:textId="289957E3" w:rsidR="00972C74" w:rsidRPr="006D7588" w:rsidRDefault="00972C74" w:rsidP="006D7588">
      <w:pPr>
        <w:pStyle w:val="ListParagraph"/>
        <w:numPr>
          <w:ilvl w:val="1"/>
          <w:numId w:val="22"/>
        </w:numPr>
        <w:ind w:left="709" w:hanging="283"/>
        <w:rPr>
          <w:rFonts w:asciiTheme="minorHAnsi" w:eastAsiaTheme="minorHAnsi" w:hAnsiTheme="minorHAnsi" w:cstheme="minorBidi"/>
          <w:sz w:val="21"/>
          <w:szCs w:val="21"/>
          <w:lang w:val="en-US"/>
        </w:rPr>
      </w:pPr>
      <w:r w:rsidRPr="006D7588">
        <w:rPr>
          <w:rFonts w:asciiTheme="minorHAnsi" w:eastAsiaTheme="minorHAnsi" w:hAnsiTheme="minorHAnsi" w:cstheme="minorBidi"/>
          <w:sz w:val="21"/>
          <w:szCs w:val="21"/>
          <w:lang w:val="en-US"/>
        </w:rPr>
        <w:t>Experience designing advanced skills (</w:t>
      </w:r>
      <w:r w:rsidR="00B50049" w:rsidRPr="006D7588">
        <w:rPr>
          <w:rFonts w:asciiTheme="minorHAnsi" w:eastAsiaTheme="minorHAnsi" w:hAnsiTheme="minorHAnsi" w:cstheme="minorBidi"/>
          <w:sz w:val="21"/>
          <w:szCs w:val="21"/>
          <w:lang w:val="en-US"/>
        </w:rPr>
        <w:t>T</w:t>
      </w:r>
      <w:r w:rsidRPr="006D7588">
        <w:rPr>
          <w:rFonts w:asciiTheme="minorHAnsi" w:eastAsiaTheme="minorHAnsi" w:hAnsiTheme="minorHAnsi" w:cstheme="minorBidi"/>
          <w:sz w:val="21"/>
          <w:szCs w:val="21"/>
          <w:lang w:val="en-US"/>
        </w:rPr>
        <w:t xml:space="preserve">raining of the </w:t>
      </w:r>
      <w:r w:rsidR="00B50049" w:rsidRPr="006D7588">
        <w:rPr>
          <w:rFonts w:asciiTheme="minorHAnsi" w:eastAsiaTheme="minorHAnsi" w:hAnsiTheme="minorHAnsi" w:cstheme="minorBidi"/>
          <w:sz w:val="21"/>
          <w:szCs w:val="21"/>
          <w:lang w:val="en-US"/>
        </w:rPr>
        <w:t>T</w:t>
      </w:r>
      <w:r w:rsidRPr="006D7588">
        <w:rPr>
          <w:rFonts w:asciiTheme="minorHAnsi" w:eastAsiaTheme="minorHAnsi" w:hAnsiTheme="minorHAnsi" w:cstheme="minorBidi"/>
          <w:sz w:val="21"/>
          <w:szCs w:val="21"/>
          <w:lang w:val="en-US"/>
        </w:rPr>
        <w:t>rainer) courses</w:t>
      </w:r>
    </w:p>
    <w:p w14:paraId="056DD8A3" w14:textId="7A1E5A64" w:rsidR="008C5D64" w:rsidRDefault="008C5D64" w:rsidP="006D7588">
      <w:pPr>
        <w:pStyle w:val="ListParagraph"/>
        <w:numPr>
          <w:ilvl w:val="1"/>
          <w:numId w:val="22"/>
        </w:numPr>
        <w:ind w:left="709" w:hanging="283"/>
        <w:rPr>
          <w:rFonts w:asciiTheme="minorHAnsi" w:eastAsiaTheme="minorHAnsi" w:hAnsiTheme="minorHAnsi" w:cstheme="minorBidi"/>
          <w:sz w:val="21"/>
          <w:szCs w:val="21"/>
          <w:lang w:val="en-US"/>
        </w:rPr>
      </w:pPr>
      <w:r>
        <w:rPr>
          <w:rFonts w:asciiTheme="minorHAnsi" w:eastAsiaTheme="minorHAnsi" w:hAnsiTheme="minorHAnsi" w:cstheme="minorBidi"/>
          <w:sz w:val="21"/>
          <w:szCs w:val="21"/>
          <w:lang w:val="en-US"/>
        </w:rPr>
        <w:t xml:space="preserve">Experience facilitating effective adult learning </w:t>
      </w:r>
      <w:proofErr w:type="spellStart"/>
      <w:r>
        <w:rPr>
          <w:rFonts w:asciiTheme="minorHAnsi" w:eastAsiaTheme="minorHAnsi" w:hAnsiTheme="minorHAnsi" w:cstheme="minorBidi"/>
          <w:sz w:val="21"/>
          <w:szCs w:val="21"/>
          <w:lang w:val="en-US"/>
        </w:rPr>
        <w:t>programme</w:t>
      </w:r>
      <w:r w:rsidR="005632F7">
        <w:rPr>
          <w:rFonts w:asciiTheme="minorHAnsi" w:eastAsiaTheme="minorHAnsi" w:hAnsiTheme="minorHAnsi" w:cstheme="minorBidi"/>
          <w:sz w:val="21"/>
          <w:szCs w:val="21"/>
          <w:lang w:val="en-US"/>
        </w:rPr>
        <w:t>s</w:t>
      </w:r>
      <w:proofErr w:type="spellEnd"/>
      <w:r w:rsidR="005632F7">
        <w:rPr>
          <w:rFonts w:asciiTheme="minorHAnsi" w:eastAsiaTheme="minorHAnsi" w:hAnsiTheme="minorHAnsi" w:cstheme="minorBidi"/>
          <w:sz w:val="21"/>
          <w:szCs w:val="21"/>
          <w:lang w:val="en-US"/>
        </w:rPr>
        <w:t xml:space="preserve"> using a range of engaging mediums and resources. </w:t>
      </w:r>
    </w:p>
    <w:p w14:paraId="4E35580E" w14:textId="797E9E7E" w:rsidR="008D1EC6" w:rsidRPr="006D7588" w:rsidRDefault="008D1EC6" w:rsidP="006D7588">
      <w:pPr>
        <w:pStyle w:val="ListParagraph"/>
        <w:numPr>
          <w:ilvl w:val="1"/>
          <w:numId w:val="22"/>
        </w:numPr>
        <w:ind w:left="709" w:hanging="283"/>
        <w:rPr>
          <w:rFonts w:asciiTheme="minorHAnsi" w:eastAsiaTheme="minorHAnsi" w:hAnsiTheme="minorHAnsi" w:cstheme="minorBidi"/>
          <w:sz w:val="21"/>
          <w:szCs w:val="21"/>
          <w:lang w:val="en-US"/>
        </w:rPr>
      </w:pPr>
      <w:r w:rsidRPr="006D7588">
        <w:rPr>
          <w:rFonts w:asciiTheme="minorHAnsi" w:eastAsiaTheme="minorHAnsi" w:hAnsiTheme="minorHAnsi" w:cstheme="minorBidi"/>
          <w:sz w:val="21"/>
          <w:szCs w:val="21"/>
          <w:lang w:val="en-US"/>
        </w:rPr>
        <w:t>Experience designing</w:t>
      </w:r>
      <w:r w:rsidR="006D7588" w:rsidRPr="006D7588">
        <w:rPr>
          <w:rFonts w:asciiTheme="minorHAnsi" w:eastAsiaTheme="minorHAnsi" w:hAnsiTheme="minorHAnsi" w:cstheme="minorBidi"/>
          <w:sz w:val="21"/>
          <w:szCs w:val="21"/>
          <w:lang w:val="en-US"/>
        </w:rPr>
        <w:t xml:space="preserve"> and implementing</w:t>
      </w:r>
      <w:r w:rsidR="00667BB0" w:rsidRPr="006D7588">
        <w:rPr>
          <w:rFonts w:asciiTheme="minorHAnsi" w:eastAsiaTheme="minorHAnsi" w:hAnsiTheme="minorHAnsi" w:cstheme="minorBidi"/>
          <w:sz w:val="21"/>
          <w:szCs w:val="21"/>
          <w:lang w:val="en-US"/>
        </w:rPr>
        <w:t xml:space="preserve"> remote learning </w:t>
      </w:r>
      <w:r w:rsidR="00B50049" w:rsidRPr="006D7588">
        <w:rPr>
          <w:rFonts w:asciiTheme="minorHAnsi" w:eastAsiaTheme="minorHAnsi" w:hAnsiTheme="minorHAnsi" w:cstheme="minorBidi"/>
          <w:sz w:val="21"/>
          <w:szCs w:val="21"/>
          <w:lang w:val="en-US"/>
        </w:rPr>
        <w:t>delivery models</w:t>
      </w:r>
      <w:r w:rsidRPr="006D7588">
        <w:rPr>
          <w:rFonts w:asciiTheme="minorHAnsi" w:eastAsiaTheme="minorHAnsi" w:hAnsiTheme="minorHAnsi" w:cstheme="minorBidi"/>
          <w:sz w:val="21"/>
          <w:szCs w:val="21"/>
          <w:lang w:val="en-US"/>
        </w:rPr>
        <w:t xml:space="preserve"> </w:t>
      </w:r>
      <w:r w:rsidR="008C5D64">
        <w:rPr>
          <w:rFonts w:asciiTheme="minorHAnsi" w:eastAsiaTheme="minorHAnsi" w:hAnsiTheme="minorHAnsi" w:cstheme="minorBidi"/>
          <w:sz w:val="21"/>
          <w:szCs w:val="21"/>
          <w:lang w:val="en-US"/>
        </w:rPr>
        <w:t>using participatory methodologies</w:t>
      </w:r>
      <w:r w:rsidR="005632F7">
        <w:rPr>
          <w:rFonts w:asciiTheme="minorHAnsi" w:eastAsiaTheme="minorHAnsi" w:hAnsiTheme="minorHAnsi" w:cstheme="minorBidi"/>
          <w:sz w:val="21"/>
          <w:szCs w:val="21"/>
          <w:lang w:val="en-US"/>
        </w:rPr>
        <w:t>.</w:t>
      </w:r>
    </w:p>
    <w:p w14:paraId="5934D417" w14:textId="6909ED0A" w:rsidR="001D7339" w:rsidRPr="000A6D61" w:rsidRDefault="008D1EC6" w:rsidP="000A6D61">
      <w:pPr>
        <w:pStyle w:val="ListParagraph"/>
        <w:numPr>
          <w:ilvl w:val="1"/>
          <w:numId w:val="22"/>
        </w:numPr>
        <w:ind w:left="709" w:hanging="283"/>
        <w:rPr>
          <w:sz w:val="21"/>
          <w:szCs w:val="21"/>
          <w:lang w:val="en-US"/>
        </w:rPr>
      </w:pPr>
      <w:r w:rsidRPr="006D7588">
        <w:rPr>
          <w:rFonts w:asciiTheme="minorHAnsi" w:eastAsiaTheme="minorHAnsi" w:hAnsiTheme="minorHAnsi" w:cstheme="minorBidi"/>
          <w:sz w:val="21"/>
          <w:szCs w:val="21"/>
          <w:lang w:val="en-US"/>
        </w:rPr>
        <w:t>Knowledge of Pacific Islands peace and conflict issues.</w:t>
      </w:r>
    </w:p>
    <w:p w14:paraId="36AB376E" w14:textId="3E839B41" w:rsidR="001D7339" w:rsidRPr="001750D5" w:rsidRDefault="001D7339" w:rsidP="000A6D61">
      <w:pPr>
        <w:pStyle w:val="Heading2"/>
        <w:numPr>
          <w:ilvl w:val="0"/>
          <w:numId w:val="3"/>
        </w:numPr>
        <w:rPr>
          <w:rFonts w:eastAsia="Times New Roman"/>
        </w:rPr>
      </w:pPr>
      <w:r>
        <w:t>Application Process</w:t>
      </w:r>
    </w:p>
    <w:p w14:paraId="617A554B" w14:textId="77777777" w:rsidR="001D7339" w:rsidRPr="006D7588" w:rsidRDefault="001D7339" w:rsidP="001D7339">
      <w:pPr>
        <w:contextualSpacing/>
        <w:rPr>
          <w:rFonts w:cs="Arial"/>
          <w:sz w:val="21"/>
          <w:szCs w:val="21"/>
        </w:rPr>
      </w:pPr>
      <w:r w:rsidRPr="006D7588">
        <w:rPr>
          <w:rFonts w:cs="Arial"/>
          <w:sz w:val="21"/>
          <w:szCs w:val="21"/>
        </w:rPr>
        <w:t>To apply for this consultancy please submit:</w:t>
      </w:r>
    </w:p>
    <w:p w14:paraId="2D271263" w14:textId="41E66BD5" w:rsidR="001D7339" w:rsidRPr="006D7588" w:rsidRDefault="001D7339" w:rsidP="001D7339">
      <w:pPr>
        <w:numPr>
          <w:ilvl w:val="0"/>
          <w:numId w:val="14"/>
        </w:numPr>
        <w:spacing w:after="160" w:line="252" w:lineRule="auto"/>
        <w:contextualSpacing/>
        <w:jc w:val="both"/>
        <w:rPr>
          <w:rFonts w:cs="Arial"/>
          <w:sz w:val="21"/>
          <w:szCs w:val="21"/>
        </w:rPr>
      </w:pPr>
      <w:r w:rsidRPr="006D7588">
        <w:rPr>
          <w:rFonts w:cs="Arial"/>
          <w:sz w:val="21"/>
          <w:szCs w:val="21"/>
        </w:rPr>
        <w:t xml:space="preserve">A </w:t>
      </w:r>
      <w:r w:rsidR="00937408">
        <w:rPr>
          <w:rFonts w:cs="Arial"/>
          <w:sz w:val="21"/>
          <w:szCs w:val="21"/>
        </w:rPr>
        <w:t>technical proposal</w:t>
      </w:r>
      <w:r w:rsidRPr="006D7588">
        <w:rPr>
          <w:rFonts w:cs="Arial"/>
          <w:sz w:val="21"/>
          <w:szCs w:val="21"/>
        </w:rPr>
        <w:t xml:space="preserve"> (</w:t>
      </w:r>
      <w:r w:rsidR="00937408">
        <w:rPr>
          <w:rFonts w:cs="Arial"/>
          <w:sz w:val="21"/>
          <w:szCs w:val="21"/>
        </w:rPr>
        <w:t>5</w:t>
      </w:r>
      <w:r w:rsidRPr="006D7588">
        <w:rPr>
          <w:rFonts w:cs="Arial"/>
          <w:sz w:val="21"/>
          <w:szCs w:val="21"/>
        </w:rPr>
        <w:t xml:space="preserve"> A4 pages maximum) detailing suitability</w:t>
      </w:r>
      <w:r w:rsidR="00F52848">
        <w:rPr>
          <w:rFonts w:cs="Arial"/>
          <w:sz w:val="21"/>
          <w:szCs w:val="21"/>
        </w:rPr>
        <w:t xml:space="preserve">, </w:t>
      </w:r>
      <w:r w:rsidR="00937408">
        <w:rPr>
          <w:rFonts w:cs="Arial"/>
          <w:sz w:val="21"/>
          <w:szCs w:val="21"/>
        </w:rPr>
        <w:t>experience</w:t>
      </w:r>
      <w:r w:rsidR="00F52848">
        <w:rPr>
          <w:rFonts w:cs="Arial"/>
          <w:sz w:val="21"/>
          <w:szCs w:val="21"/>
        </w:rPr>
        <w:t xml:space="preserve"> and proposed approach</w:t>
      </w:r>
    </w:p>
    <w:p w14:paraId="478AC3C5" w14:textId="77777777" w:rsidR="001D7339" w:rsidRPr="006D7588" w:rsidRDefault="001D7339" w:rsidP="001D7339">
      <w:pPr>
        <w:numPr>
          <w:ilvl w:val="0"/>
          <w:numId w:val="14"/>
        </w:numPr>
        <w:spacing w:after="160" w:line="252" w:lineRule="auto"/>
        <w:contextualSpacing/>
        <w:jc w:val="both"/>
        <w:rPr>
          <w:rFonts w:cs="Arial"/>
          <w:sz w:val="21"/>
          <w:szCs w:val="21"/>
        </w:rPr>
      </w:pPr>
      <w:r w:rsidRPr="006D7588">
        <w:rPr>
          <w:rFonts w:cs="Arial"/>
          <w:sz w:val="21"/>
          <w:szCs w:val="21"/>
        </w:rPr>
        <w:t>A financial proposal</w:t>
      </w:r>
    </w:p>
    <w:p w14:paraId="31853B34" w14:textId="77777777" w:rsidR="001D7339" w:rsidRDefault="001D7339" w:rsidP="001D7339">
      <w:pPr>
        <w:jc w:val="both"/>
        <w:rPr>
          <w:rFonts w:eastAsia="Times New Roman" w:cs="Arial"/>
          <w:sz w:val="22"/>
          <w:szCs w:val="22"/>
        </w:rPr>
      </w:pPr>
    </w:p>
    <w:p w14:paraId="5F3CFD2D" w14:textId="5FF3C1AD" w:rsidR="001D7339" w:rsidRPr="006F3C9F" w:rsidRDefault="001D7339" w:rsidP="001D7339">
      <w:pPr>
        <w:jc w:val="both"/>
        <w:rPr>
          <w:rFonts w:eastAsia="Times New Roman" w:cs="Arial"/>
          <w:sz w:val="21"/>
          <w:szCs w:val="21"/>
        </w:rPr>
      </w:pPr>
      <w:r w:rsidRPr="00B96156">
        <w:rPr>
          <w:rFonts w:eastAsia="Times New Roman" w:cs="Arial"/>
          <w:sz w:val="21"/>
          <w:szCs w:val="21"/>
        </w:rPr>
        <w:t xml:space="preserve">All proposals should be emailed to </w:t>
      </w:r>
      <w:hyperlink r:id="rId5" w:history="1">
        <w:r w:rsidRPr="00B96156">
          <w:rPr>
            <w:rStyle w:val="Hyperlink"/>
            <w:rFonts w:eastAsia="Times New Roman" w:cs="Arial"/>
            <w:sz w:val="21"/>
            <w:szCs w:val="21"/>
          </w:rPr>
          <w:t>aurecruitment@c-r.org</w:t>
        </w:r>
      </w:hyperlink>
      <w:r w:rsidRPr="00B96156">
        <w:rPr>
          <w:rFonts w:eastAsia="Times New Roman" w:cs="Arial"/>
          <w:sz w:val="21"/>
          <w:szCs w:val="21"/>
        </w:rPr>
        <w:t xml:space="preserve"> </w:t>
      </w:r>
      <w:r w:rsidRPr="006F3C9F">
        <w:rPr>
          <w:rFonts w:eastAsia="Times New Roman" w:cs="Arial"/>
          <w:sz w:val="21"/>
          <w:szCs w:val="21"/>
        </w:rPr>
        <w:t xml:space="preserve">by </w:t>
      </w:r>
      <w:r w:rsidR="00216F1B" w:rsidRPr="006F3C9F">
        <w:rPr>
          <w:rFonts w:eastAsia="Times New Roman" w:cs="Arial"/>
          <w:sz w:val="21"/>
          <w:szCs w:val="21"/>
        </w:rPr>
        <w:t>25 June 2021</w:t>
      </w:r>
      <w:r w:rsidR="006D7588" w:rsidRPr="006F3C9F">
        <w:rPr>
          <w:rFonts w:eastAsia="Times New Roman" w:cs="Arial"/>
          <w:sz w:val="21"/>
          <w:szCs w:val="21"/>
        </w:rPr>
        <w:t>.</w:t>
      </w:r>
    </w:p>
    <w:p w14:paraId="41C98588" w14:textId="77777777" w:rsidR="001D7339" w:rsidRPr="006F3C9F" w:rsidRDefault="001D7339" w:rsidP="001D7339">
      <w:pPr>
        <w:jc w:val="both"/>
        <w:rPr>
          <w:rFonts w:eastAsia="Times New Roman" w:cs="Arial"/>
          <w:sz w:val="21"/>
          <w:szCs w:val="21"/>
        </w:rPr>
      </w:pPr>
    </w:p>
    <w:p w14:paraId="2C335A82" w14:textId="7AD6E044" w:rsidR="005632F7" w:rsidRPr="005632F7" w:rsidRDefault="001D7339" w:rsidP="005632F7">
      <w:pPr>
        <w:rPr>
          <w:lang w:val="en-US"/>
        </w:rPr>
      </w:pPr>
      <w:r w:rsidRPr="006F3C9F">
        <w:rPr>
          <w:rFonts w:eastAsia="Times New Roman" w:cs="Arial"/>
          <w:sz w:val="21"/>
          <w:szCs w:val="21"/>
        </w:rPr>
        <w:t xml:space="preserve">Candidates will be informed by </w:t>
      </w:r>
      <w:r w:rsidR="006F3C9F" w:rsidRPr="006F3C9F">
        <w:rPr>
          <w:rFonts w:eastAsia="Times New Roman" w:cs="Arial"/>
          <w:sz w:val="21"/>
          <w:szCs w:val="21"/>
        </w:rPr>
        <w:t>26 July 2021</w:t>
      </w:r>
      <w:r w:rsidRPr="006F3C9F">
        <w:rPr>
          <w:rFonts w:eastAsia="Times New Roman" w:cs="Arial"/>
          <w:sz w:val="21"/>
          <w:szCs w:val="21"/>
        </w:rPr>
        <w:t>.</w:t>
      </w:r>
      <w:r w:rsidR="00551EC3" w:rsidRPr="00B96156">
        <w:rPr>
          <w:rFonts w:eastAsia="Times New Roman" w:cs="Arial"/>
          <w:sz w:val="21"/>
          <w:szCs w:val="21"/>
        </w:rPr>
        <w:t xml:space="preserve"> </w:t>
      </w:r>
    </w:p>
    <w:sectPr w:rsidR="005632F7" w:rsidRPr="00563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302"/>
    <w:multiLevelType w:val="hybridMultilevel"/>
    <w:tmpl w:val="BC86137E"/>
    <w:lvl w:ilvl="0" w:tplc="701A2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1940"/>
    <w:multiLevelType w:val="hybridMultilevel"/>
    <w:tmpl w:val="E9B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05C9"/>
    <w:multiLevelType w:val="hybridMultilevel"/>
    <w:tmpl w:val="72000B08"/>
    <w:lvl w:ilvl="0" w:tplc="1ABE63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65D7D"/>
    <w:multiLevelType w:val="hybridMultilevel"/>
    <w:tmpl w:val="9E30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00DF1"/>
    <w:multiLevelType w:val="hybridMultilevel"/>
    <w:tmpl w:val="CF125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DE081E"/>
    <w:multiLevelType w:val="hybridMultilevel"/>
    <w:tmpl w:val="1EA4E5D4"/>
    <w:lvl w:ilvl="0" w:tplc="7AB00F8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16C2F"/>
    <w:multiLevelType w:val="hybridMultilevel"/>
    <w:tmpl w:val="C344965C"/>
    <w:lvl w:ilvl="0" w:tplc="E42E5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14FDC"/>
    <w:multiLevelType w:val="hybridMultilevel"/>
    <w:tmpl w:val="EEC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C5DAD"/>
    <w:multiLevelType w:val="hybridMultilevel"/>
    <w:tmpl w:val="32E03B2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461FC"/>
    <w:multiLevelType w:val="hybridMultilevel"/>
    <w:tmpl w:val="34923DB4"/>
    <w:lvl w:ilvl="0" w:tplc="513606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54CBA"/>
    <w:multiLevelType w:val="hybridMultilevel"/>
    <w:tmpl w:val="6A3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71946"/>
    <w:multiLevelType w:val="hybridMultilevel"/>
    <w:tmpl w:val="9A06656E"/>
    <w:lvl w:ilvl="0" w:tplc="B4FE1714">
      <w:start w:val="1"/>
      <w:numFmt w:val="upperLetter"/>
      <w:pStyle w:val="Heading2"/>
      <w:lvlText w:val="%1."/>
      <w:lvlJc w:val="left"/>
      <w:pPr>
        <w:ind w:left="19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17378"/>
    <w:multiLevelType w:val="hybridMultilevel"/>
    <w:tmpl w:val="0434857C"/>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920036"/>
    <w:multiLevelType w:val="multilevel"/>
    <w:tmpl w:val="683AD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031A85"/>
    <w:multiLevelType w:val="hybridMultilevel"/>
    <w:tmpl w:val="356E4270"/>
    <w:lvl w:ilvl="0" w:tplc="B9B83D6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43A81"/>
    <w:multiLevelType w:val="hybridMultilevel"/>
    <w:tmpl w:val="6F84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A2C25"/>
    <w:multiLevelType w:val="multilevel"/>
    <w:tmpl w:val="66066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BA9214B"/>
    <w:multiLevelType w:val="hybridMultilevel"/>
    <w:tmpl w:val="BF4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77695"/>
    <w:multiLevelType w:val="hybridMultilevel"/>
    <w:tmpl w:val="12A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5617C"/>
    <w:multiLevelType w:val="hybridMultilevel"/>
    <w:tmpl w:val="58C8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6335A"/>
    <w:multiLevelType w:val="hybridMultilevel"/>
    <w:tmpl w:val="5D2CB7AA"/>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F42188"/>
    <w:multiLevelType w:val="hybridMultilevel"/>
    <w:tmpl w:val="F58E110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6A0829"/>
    <w:multiLevelType w:val="hybridMultilevel"/>
    <w:tmpl w:val="E780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035C7"/>
    <w:multiLevelType w:val="hybridMultilevel"/>
    <w:tmpl w:val="9EA6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A30A6"/>
    <w:multiLevelType w:val="hybridMultilevel"/>
    <w:tmpl w:val="327E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064DA"/>
    <w:multiLevelType w:val="hybridMultilevel"/>
    <w:tmpl w:val="B0A682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916C4"/>
    <w:multiLevelType w:val="hybridMultilevel"/>
    <w:tmpl w:val="650CD8D2"/>
    <w:lvl w:ilvl="0" w:tplc="3DB84F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74463C"/>
    <w:multiLevelType w:val="hybridMultilevel"/>
    <w:tmpl w:val="1D1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46FD2"/>
    <w:multiLevelType w:val="hybridMultilevel"/>
    <w:tmpl w:val="EDCA2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21"/>
  </w:num>
  <w:num w:numId="4">
    <w:abstractNumId w:val="28"/>
  </w:num>
  <w:num w:numId="5">
    <w:abstractNumId w:val="9"/>
  </w:num>
  <w:num w:numId="6">
    <w:abstractNumId w:val="24"/>
  </w:num>
  <w:num w:numId="7">
    <w:abstractNumId w:val="25"/>
  </w:num>
  <w:num w:numId="8">
    <w:abstractNumId w:val="17"/>
  </w:num>
  <w:num w:numId="9">
    <w:abstractNumId w:val="22"/>
  </w:num>
  <w:num w:numId="10">
    <w:abstractNumId w:val="4"/>
  </w:num>
  <w:num w:numId="11">
    <w:abstractNumId w:val="6"/>
  </w:num>
  <w:num w:numId="12">
    <w:abstractNumId w:val="23"/>
  </w:num>
  <w:num w:numId="13">
    <w:abstractNumId w:val="11"/>
  </w:num>
  <w:num w:numId="14">
    <w:abstractNumId w:val="7"/>
  </w:num>
  <w:num w:numId="15">
    <w:abstractNumId w:val="16"/>
  </w:num>
  <w:num w:numId="16">
    <w:abstractNumId w:val="3"/>
  </w:num>
  <w:num w:numId="17">
    <w:abstractNumId w:val="1"/>
  </w:num>
  <w:num w:numId="18">
    <w:abstractNumId w:val="27"/>
  </w:num>
  <w:num w:numId="19">
    <w:abstractNumId w:val="10"/>
  </w:num>
  <w:num w:numId="20">
    <w:abstractNumId w:val="15"/>
  </w:num>
  <w:num w:numId="21">
    <w:abstractNumId w:val="12"/>
  </w:num>
  <w:num w:numId="22">
    <w:abstractNumId w:val="20"/>
  </w:num>
  <w:num w:numId="23">
    <w:abstractNumId w:val="2"/>
  </w:num>
  <w:num w:numId="24">
    <w:abstractNumId w:val="19"/>
  </w:num>
  <w:num w:numId="25">
    <w:abstractNumId w:val="18"/>
  </w:num>
  <w:num w:numId="26">
    <w:abstractNumId w:val="0"/>
  </w:num>
  <w:num w:numId="27">
    <w:abstractNumId w:val="26"/>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6B"/>
    <w:rsid w:val="000075C5"/>
    <w:rsid w:val="0001005D"/>
    <w:rsid w:val="0002394D"/>
    <w:rsid w:val="00030913"/>
    <w:rsid w:val="00033A8C"/>
    <w:rsid w:val="000412C7"/>
    <w:rsid w:val="000642B5"/>
    <w:rsid w:val="000950E4"/>
    <w:rsid w:val="000A6D61"/>
    <w:rsid w:val="000C0006"/>
    <w:rsid w:val="001D7339"/>
    <w:rsid w:val="001F2B79"/>
    <w:rsid w:val="00200075"/>
    <w:rsid w:val="00214EA0"/>
    <w:rsid w:val="00215645"/>
    <w:rsid w:val="00216F1B"/>
    <w:rsid w:val="00251A19"/>
    <w:rsid w:val="00280FCC"/>
    <w:rsid w:val="00290FA4"/>
    <w:rsid w:val="0029368D"/>
    <w:rsid w:val="002F106E"/>
    <w:rsid w:val="00305498"/>
    <w:rsid w:val="00324822"/>
    <w:rsid w:val="0034317A"/>
    <w:rsid w:val="003B71B8"/>
    <w:rsid w:val="003D664A"/>
    <w:rsid w:val="003E4F2D"/>
    <w:rsid w:val="003F5346"/>
    <w:rsid w:val="003F7D00"/>
    <w:rsid w:val="0042234A"/>
    <w:rsid w:val="00454FEF"/>
    <w:rsid w:val="00472D7C"/>
    <w:rsid w:val="004A4AB3"/>
    <w:rsid w:val="004E77F8"/>
    <w:rsid w:val="0051510A"/>
    <w:rsid w:val="0052508C"/>
    <w:rsid w:val="005267EA"/>
    <w:rsid w:val="00530820"/>
    <w:rsid w:val="00534F80"/>
    <w:rsid w:val="005439CC"/>
    <w:rsid w:val="00551EC3"/>
    <w:rsid w:val="005521E0"/>
    <w:rsid w:val="00556337"/>
    <w:rsid w:val="005632F7"/>
    <w:rsid w:val="00566C81"/>
    <w:rsid w:val="00573AE5"/>
    <w:rsid w:val="0057400D"/>
    <w:rsid w:val="005912BC"/>
    <w:rsid w:val="005B0863"/>
    <w:rsid w:val="005C7310"/>
    <w:rsid w:val="005E49E0"/>
    <w:rsid w:val="00667BB0"/>
    <w:rsid w:val="00676EFB"/>
    <w:rsid w:val="006A0B2D"/>
    <w:rsid w:val="006A3B0C"/>
    <w:rsid w:val="006C4615"/>
    <w:rsid w:val="006D6F7E"/>
    <w:rsid w:val="006D7588"/>
    <w:rsid w:val="006F3C9F"/>
    <w:rsid w:val="00717418"/>
    <w:rsid w:val="00736F69"/>
    <w:rsid w:val="00753B48"/>
    <w:rsid w:val="007B45E2"/>
    <w:rsid w:val="007E5F49"/>
    <w:rsid w:val="00850C48"/>
    <w:rsid w:val="008645FC"/>
    <w:rsid w:val="008719DD"/>
    <w:rsid w:val="00884076"/>
    <w:rsid w:val="008B5D0F"/>
    <w:rsid w:val="008C500C"/>
    <w:rsid w:val="008C5D64"/>
    <w:rsid w:val="008D1EC6"/>
    <w:rsid w:val="00913852"/>
    <w:rsid w:val="00916D0F"/>
    <w:rsid w:val="00934493"/>
    <w:rsid w:val="00937408"/>
    <w:rsid w:val="0095062D"/>
    <w:rsid w:val="00966A89"/>
    <w:rsid w:val="00972C74"/>
    <w:rsid w:val="009B417A"/>
    <w:rsid w:val="009F7274"/>
    <w:rsid w:val="00A2509B"/>
    <w:rsid w:val="00A3726C"/>
    <w:rsid w:val="00A57B6B"/>
    <w:rsid w:val="00A853FD"/>
    <w:rsid w:val="00AB7553"/>
    <w:rsid w:val="00AC0084"/>
    <w:rsid w:val="00AE79A0"/>
    <w:rsid w:val="00AF511E"/>
    <w:rsid w:val="00AF7BC8"/>
    <w:rsid w:val="00B50049"/>
    <w:rsid w:val="00B7356B"/>
    <w:rsid w:val="00B96156"/>
    <w:rsid w:val="00BA091E"/>
    <w:rsid w:val="00BB7A89"/>
    <w:rsid w:val="00BE5CB0"/>
    <w:rsid w:val="00C1716B"/>
    <w:rsid w:val="00C25332"/>
    <w:rsid w:val="00C27D11"/>
    <w:rsid w:val="00C763A4"/>
    <w:rsid w:val="00C90624"/>
    <w:rsid w:val="00CC0DA6"/>
    <w:rsid w:val="00CF195E"/>
    <w:rsid w:val="00D30493"/>
    <w:rsid w:val="00D33E10"/>
    <w:rsid w:val="00D433DA"/>
    <w:rsid w:val="00D93416"/>
    <w:rsid w:val="00DC6D86"/>
    <w:rsid w:val="00DF0A6E"/>
    <w:rsid w:val="00DF38E5"/>
    <w:rsid w:val="00E14D5B"/>
    <w:rsid w:val="00E449C7"/>
    <w:rsid w:val="00E44B9A"/>
    <w:rsid w:val="00E570B2"/>
    <w:rsid w:val="00E57705"/>
    <w:rsid w:val="00E7135D"/>
    <w:rsid w:val="00EC73C1"/>
    <w:rsid w:val="00ED27A7"/>
    <w:rsid w:val="00EE2F6B"/>
    <w:rsid w:val="00F0470F"/>
    <w:rsid w:val="00F148B8"/>
    <w:rsid w:val="00F422F5"/>
    <w:rsid w:val="00F52848"/>
    <w:rsid w:val="00F5681D"/>
    <w:rsid w:val="00F6694F"/>
    <w:rsid w:val="00F83E08"/>
    <w:rsid w:val="00F85714"/>
    <w:rsid w:val="00FA5F95"/>
    <w:rsid w:val="00FB238D"/>
    <w:rsid w:val="00FD2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5164B4"/>
  <w15:chartTrackingRefBased/>
  <w15:docId w15:val="{3D52AB9B-5503-214B-ACC9-D96025BF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D7339"/>
    <w:pPr>
      <w:keepNext/>
      <w:keepLines/>
      <w:numPr>
        <w:numId w:val="13"/>
      </w:numPr>
      <w:spacing w:before="200" w:after="120"/>
      <w:ind w:left="720"/>
      <w:outlineLvl w:val="1"/>
    </w:pPr>
    <w:rPr>
      <w:rFonts w:ascii="Arial" w:eastAsiaTheme="majorEastAsia" w:hAnsi="Arial" w:cs="Arial"/>
      <w:b/>
      <w:bCs/>
      <w:cap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C7310"/>
    <w:pPr>
      <w:spacing w:after="160" w:line="264" w:lineRule="auto"/>
      <w:ind w:left="720"/>
      <w:contextualSpacing/>
    </w:pPr>
    <w:rPr>
      <w:rFonts w:ascii="Arial" w:eastAsia="Palatino Linotype" w:hAnsi="Arial" w:cs="Times New Roman"/>
      <w:sz w:val="22"/>
      <w:szCs w:val="22"/>
      <w:lang w:val="en-GB"/>
    </w:rPr>
  </w:style>
  <w:style w:type="table" w:customStyle="1" w:styleId="TableGrid1">
    <w:name w:val="Table Grid1"/>
    <w:basedOn w:val="TableNormal"/>
    <w:next w:val="TableGrid"/>
    <w:uiPriority w:val="59"/>
    <w:rsid w:val="001D7339"/>
    <w:rPr>
      <w:rFonts w:ascii="Cambria" w:eastAsia="MS Mincho" w:hAnsi="Cambri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7339"/>
    <w:rPr>
      <w:rFonts w:ascii="Arial" w:eastAsiaTheme="majorEastAsia" w:hAnsi="Arial" w:cs="Arial"/>
      <w:b/>
      <w:bCs/>
      <w:caps/>
      <w:sz w:val="22"/>
      <w:szCs w:val="22"/>
      <w:lang w:val="en-GB"/>
    </w:rPr>
  </w:style>
  <w:style w:type="character" w:styleId="Hyperlink">
    <w:name w:val="Hyperlink"/>
    <w:basedOn w:val="DefaultParagraphFont"/>
    <w:uiPriority w:val="99"/>
    <w:unhideWhenUsed/>
    <w:rsid w:val="001D7339"/>
    <w:rPr>
      <w:color w:val="0563C1" w:themeColor="hyperlink"/>
      <w:u w:val="single"/>
    </w:rPr>
  </w:style>
  <w:style w:type="character" w:styleId="CommentReference">
    <w:name w:val="annotation reference"/>
    <w:basedOn w:val="DefaultParagraphFont"/>
    <w:uiPriority w:val="99"/>
    <w:semiHidden/>
    <w:unhideWhenUsed/>
    <w:rsid w:val="001F2B79"/>
    <w:rPr>
      <w:sz w:val="18"/>
      <w:szCs w:val="18"/>
    </w:rPr>
  </w:style>
  <w:style w:type="paragraph" w:styleId="CommentText">
    <w:name w:val="annotation text"/>
    <w:basedOn w:val="Normal"/>
    <w:link w:val="CommentTextChar"/>
    <w:uiPriority w:val="99"/>
    <w:semiHidden/>
    <w:unhideWhenUsed/>
    <w:rsid w:val="001F2B79"/>
    <w:rPr>
      <w:rFonts w:ascii="Arial" w:eastAsia="Cambria" w:hAnsi="Arial" w:cs="Times New Roman"/>
      <w:lang w:val="en-GB"/>
    </w:rPr>
  </w:style>
  <w:style w:type="character" w:customStyle="1" w:styleId="CommentTextChar">
    <w:name w:val="Comment Text Char"/>
    <w:basedOn w:val="DefaultParagraphFont"/>
    <w:link w:val="CommentText"/>
    <w:uiPriority w:val="99"/>
    <w:semiHidden/>
    <w:rsid w:val="001F2B79"/>
    <w:rPr>
      <w:rFonts w:ascii="Arial" w:eastAsia="Cambria" w:hAnsi="Arial" w:cs="Times New Roman"/>
      <w:lang w:val="en-GB"/>
    </w:rPr>
  </w:style>
  <w:style w:type="paragraph" w:styleId="NormalWeb">
    <w:name w:val="Normal (Web)"/>
    <w:basedOn w:val="Normal"/>
    <w:uiPriority w:val="99"/>
    <w:unhideWhenUsed/>
    <w:rsid w:val="003B71B8"/>
    <w:pPr>
      <w:spacing w:before="100" w:beforeAutospacing="1" w:after="100" w:afterAutospacing="1"/>
    </w:pPr>
    <w:rPr>
      <w:rFonts w:ascii="Times New Roman" w:eastAsia="Times New Roman" w:hAnsi="Times New Roman" w:cs="Times New Roman"/>
      <w:lang w:val="en-GB"/>
    </w:rPr>
  </w:style>
  <w:style w:type="paragraph" w:styleId="Quote">
    <w:name w:val="Quote"/>
    <w:basedOn w:val="Normal"/>
    <w:next w:val="Normal"/>
    <w:link w:val="QuoteChar"/>
    <w:uiPriority w:val="29"/>
    <w:qFormat/>
    <w:rsid w:val="00B50049"/>
    <w:pPr>
      <w:spacing w:after="160" w:line="252" w:lineRule="auto"/>
      <w:ind w:left="567" w:right="567"/>
      <w:jc w:val="center"/>
    </w:pPr>
    <w:rPr>
      <w:rFonts w:ascii="Times New Roman" w:eastAsiaTheme="majorEastAsia" w:hAnsi="Times New Roman" w:cstheme="majorBidi"/>
      <w:iCs/>
    </w:rPr>
  </w:style>
  <w:style w:type="character" w:customStyle="1" w:styleId="QuoteChar">
    <w:name w:val="Quote Char"/>
    <w:basedOn w:val="DefaultParagraphFont"/>
    <w:link w:val="Quote"/>
    <w:uiPriority w:val="29"/>
    <w:rsid w:val="00B50049"/>
    <w:rPr>
      <w:rFonts w:ascii="Times New Roman" w:eastAsiaTheme="majorEastAsia" w:hAnsi="Times New Roman" w:cstheme="majorBidi"/>
      <w:iCs/>
    </w:rPr>
  </w:style>
  <w:style w:type="paragraph" w:styleId="CommentSubject">
    <w:name w:val="annotation subject"/>
    <w:basedOn w:val="CommentText"/>
    <w:next w:val="CommentText"/>
    <w:link w:val="CommentSubjectChar"/>
    <w:uiPriority w:val="99"/>
    <w:semiHidden/>
    <w:unhideWhenUsed/>
    <w:rsid w:val="00EC73C1"/>
    <w:rPr>
      <w:rFonts w:asciiTheme="minorHAnsi" w:eastAsiaTheme="minorHAnsi" w:hAnsiTheme="minorHAnsi" w:cstheme="minorBidi"/>
      <w:b/>
      <w:bCs/>
      <w:sz w:val="20"/>
      <w:szCs w:val="20"/>
      <w:lang w:val="en-AU"/>
    </w:rPr>
  </w:style>
  <w:style w:type="character" w:customStyle="1" w:styleId="CommentSubjectChar">
    <w:name w:val="Comment Subject Char"/>
    <w:basedOn w:val="CommentTextChar"/>
    <w:link w:val="CommentSubject"/>
    <w:uiPriority w:val="99"/>
    <w:semiHidden/>
    <w:rsid w:val="00EC73C1"/>
    <w:rPr>
      <w:rFonts w:ascii="Arial" w:eastAsia="Cambria" w:hAnsi="Arial" w:cs="Times New Roman"/>
      <w:b/>
      <w:bCs/>
      <w:sz w:val="20"/>
      <w:szCs w:val="20"/>
      <w:lang w:val="en-GB"/>
    </w:rPr>
  </w:style>
  <w:style w:type="paragraph" w:styleId="Revision">
    <w:name w:val="Revision"/>
    <w:hidden/>
    <w:uiPriority w:val="99"/>
    <w:semiHidden/>
    <w:rsid w:val="000A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7325">
      <w:bodyDiv w:val="1"/>
      <w:marLeft w:val="0"/>
      <w:marRight w:val="0"/>
      <w:marTop w:val="0"/>
      <w:marBottom w:val="0"/>
      <w:divBdr>
        <w:top w:val="none" w:sz="0" w:space="0" w:color="auto"/>
        <w:left w:val="none" w:sz="0" w:space="0" w:color="auto"/>
        <w:bottom w:val="none" w:sz="0" w:space="0" w:color="auto"/>
        <w:right w:val="none" w:sz="0" w:space="0" w:color="auto"/>
      </w:divBdr>
    </w:div>
    <w:div w:id="1389378863">
      <w:bodyDiv w:val="1"/>
      <w:marLeft w:val="0"/>
      <w:marRight w:val="0"/>
      <w:marTop w:val="0"/>
      <w:marBottom w:val="0"/>
      <w:divBdr>
        <w:top w:val="none" w:sz="0" w:space="0" w:color="auto"/>
        <w:left w:val="none" w:sz="0" w:space="0" w:color="auto"/>
        <w:bottom w:val="none" w:sz="0" w:space="0" w:color="auto"/>
        <w:right w:val="none" w:sz="0" w:space="0" w:color="auto"/>
      </w:divBdr>
    </w:div>
    <w:div w:id="1424109852">
      <w:bodyDiv w:val="1"/>
      <w:marLeft w:val="0"/>
      <w:marRight w:val="0"/>
      <w:marTop w:val="0"/>
      <w:marBottom w:val="0"/>
      <w:divBdr>
        <w:top w:val="none" w:sz="0" w:space="0" w:color="auto"/>
        <w:left w:val="none" w:sz="0" w:space="0" w:color="auto"/>
        <w:bottom w:val="none" w:sz="0" w:space="0" w:color="auto"/>
        <w:right w:val="none" w:sz="0" w:space="0" w:color="auto"/>
      </w:divBdr>
      <w:divsChild>
        <w:div w:id="1210655265">
          <w:marLeft w:val="0"/>
          <w:marRight w:val="0"/>
          <w:marTop w:val="0"/>
          <w:marBottom w:val="0"/>
          <w:divBdr>
            <w:top w:val="none" w:sz="0" w:space="0" w:color="auto"/>
            <w:left w:val="none" w:sz="0" w:space="0" w:color="auto"/>
            <w:bottom w:val="none" w:sz="0" w:space="0" w:color="auto"/>
            <w:right w:val="none" w:sz="0" w:space="0" w:color="auto"/>
          </w:divBdr>
          <w:divsChild>
            <w:div w:id="1175848585">
              <w:marLeft w:val="0"/>
              <w:marRight w:val="0"/>
              <w:marTop w:val="0"/>
              <w:marBottom w:val="0"/>
              <w:divBdr>
                <w:top w:val="none" w:sz="0" w:space="0" w:color="auto"/>
                <w:left w:val="none" w:sz="0" w:space="0" w:color="auto"/>
                <w:bottom w:val="none" w:sz="0" w:space="0" w:color="auto"/>
                <w:right w:val="none" w:sz="0" w:space="0" w:color="auto"/>
              </w:divBdr>
              <w:divsChild>
                <w:div w:id="6014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3265">
      <w:bodyDiv w:val="1"/>
      <w:marLeft w:val="0"/>
      <w:marRight w:val="0"/>
      <w:marTop w:val="0"/>
      <w:marBottom w:val="0"/>
      <w:divBdr>
        <w:top w:val="none" w:sz="0" w:space="0" w:color="auto"/>
        <w:left w:val="none" w:sz="0" w:space="0" w:color="auto"/>
        <w:bottom w:val="none" w:sz="0" w:space="0" w:color="auto"/>
        <w:right w:val="none" w:sz="0" w:space="0" w:color="auto"/>
      </w:divBdr>
      <w:divsChild>
        <w:div w:id="1846745382">
          <w:marLeft w:val="0"/>
          <w:marRight w:val="0"/>
          <w:marTop w:val="0"/>
          <w:marBottom w:val="0"/>
          <w:divBdr>
            <w:top w:val="none" w:sz="0" w:space="0" w:color="auto"/>
            <w:left w:val="none" w:sz="0" w:space="0" w:color="auto"/>
            <w:bottom w:val="none" w:sz="0" w:space="0" w:color="auto"/>
            <w:right w:val="none" w:sz="0" w:space="0" w:color="auto"/>
          </w:divBdr>
          <w:divsChild>
            <w:div w:id="36589399">
              <w:marLeft w:val="0"/>
              <w:marRight w:val="0"/>
              <w:marTop w:val="0"/>
              <w:marBottom w:val="0"/>
              <w:divBdr>
                <w:top w:val="none" w:sz="0" w:space="0" w:color="auto"/>
                <w:left w:val="none" w:sz="0" w:space="0" w:color="auto"/>
                <w:bottom w:val="none" w:sz="0" w:space="0" w:color="auto"/>
                <w:right w:val="none" w:sz="0" w:space="0" w:color="auto"/>
              </w:divBdr>
              <w:divsChild>
                <w:div w:id="339435133">
                  <w:marLeft w:val="0"/>
                  <w:marRight w:val="0"/>
                  <w:marTop w:val="0"/>
                  <w:marBottom w:val="0"/>
                  <w:divBdr>
                    <w:top w:val="none" w:sz="0" w:space="0" w:color="auto"/>
                    <w:left w:val="none" w:sz="0" w:space="0" w:color="auto"/>
                    <w:bottom w:val="none" w:sz="0" w:space="0" w:color="auto"/>
                    <w:right w:val="none" w:sz="0" w:space="0" w:color="auto"/>
                  </w:divBdr>
                </w:div>
              </w:divsChild>
            </w:div>
            <w:div w:id="1733961555">
              <w:marLeft w:val="0"/>
              <w:marRight w:val="0"/>
              <w:marTop w:val="0"/>
              <w:marBottom w:val="0"/>
              <w:divBdr>
                <w:top w:val="none" w:sz="0" w:space="0" w:color="auto"/>
                <w:left w:val="none" w:sz="0" w:space="0" w:color="auto"/>
                <w:bottom w:val="none" w:sz="0" w:space="0" w:color="auto"/>
                <w:right w:val="none" w:sz="0" w:space="0" w:color="auto"/>
              </w:divBdr>
              <w:divsChild>
                <w:div w:id="1493060306">
                  <w:marLeft w:val="0"/>
                  <w:marRight w:val="0"/>
                  <w:marTop w:val="0"/>
                  <w:marBottom w:val="0"/>
                  <w:divBdr>
                    <w:top w:val="none" w:sz="0" w:space="0" w:color="auto"/>
                    <w:left w:val="none" w:sz="0" w:space="0" w:color="auto"/>
                    <w:bottom w:val="none" w:sz="0" w:space="0" w:color="auto"/>
                    <w:right w:val="none" w:sz="0" w:space="0" w:color="auto"/>
                  </w:divBdr>
                </w:div>
              </w:divsChild>
            </w:div>
            <w:div w:id="926959229">
              <w:marLeft w:val="0"/>
              <w:marRight w:val="0"/>
              <w:marTop w:val="0"/>
              <w:marBottom w:val="0"/>
              <w:divBdr>
                <w:top w:val="none" w:sz="0" w:space="0" w:color="auto"/>
                <w:left w:val="none" w:sz="0" w:space="0" w:color="auto"/>
                <w:bottom w:val="none" w:sz="0" w:space="0" w:color="auto"/>
                <w:right w:val="none" w:sz="0" w:space="0" w:color="auto"/>
              </w:divBdr>
              <w:divsChild>
                <w:div w:id="672149589">
                  <w:marLeft w:val="0"/>
                  <w:marRight w:val="0"/>
                  <w:marTop w:val="0"/>
                  <w:marBottom w:val="0"/>
                  <w:divBdr>
                    <w:top w:val="none" w:sz="0" w:space="0" w:color="auto"/>
                    <w:left w:val="none" w:sz="0" w:space="0" w:color="auto"/>
                    <w:bottom w:val="none" w:sz="0" w:space="0" w:color="auto"/>
                    <w:right w:val="none" w:sz="0" w:space="0" w:color="auto"/>
                  </w:divBdr>
                </w:div>
              </w:divsChild>
            </w:div>
            <w:div w:id="2125494003">
              <w:marLeft w:val="0"/>
              <w:marRight w:val="0"/>
              <w:marTop w:val="0"/>
              <w:marBottom w:val="0"/>
              <w:divBdr>
                <w:top w:val="none" w:sz="0" w:space="0" w:color="auto"/>
                <w:left w:val="none" w:sz="0" w:space="0" w:color="auto"/>
                <w:bottom w:val="none" w:sz="0" w:space="0" w:color="auto"/>
                <w:right w:val="none" w:sz="0" w:space="0" w:color="auto"/>
              </w:divBdr>
              <w:divsChild>
                <w:div w:id="10550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9291">
      <w:bodyDiv w:val="1"/>
      <w:marLeft w:val="0"/>
      <w:marRight w:val="0"/>
      <w:marTop w:val="0"/>
      <w:marBottom w:val="0"/>
      <w:divBdr>
        <w:top w:val="none" w:sz="0" w:space="0" w:color="auto"/>
        <w:left w:val="none" w:sz="0" w:space="0" w:color="auto"/>
        <w:bottom w:val="none" w:sz="0" w:space="0" w:color="auto"/>
        <w:right w:val="none" w:sz="0" w:space="0" w:color="auto"/>
      </w:divBdr>
    </w:div>
    <w:div w:id="17717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recruitment@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Conciliation Resources</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Blenkin</dc:creator>
  <cp:keywords/>
  <dc:description/>
  <cp:lastModifiedBy>Abigail Blenkin</cp:lastModifiedBy>
  <cp:revision>8</cp:revision>
  <dcterms:created xsi:type="dcterms:W3CDTF">2021-06-04T02:47:00Z</dcterms:created>
  <dcterms:modified xsi:type="dcterms:W3CDTF">2021-06-04T03:22:00Z</dcterms:modified>
</cp:coreProperties>
</file>